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263C0" w14:textId="77777777" w:rsidR="00CB5D85" w:rsidRDefault="00CB2E66">
      <w:pPr>
        <w:jc w:val="center"/>
        <w:rPr>
          <w:rFonts w:cs="Arial"/>
          <w:b/>
          <w:sz w:val="22"/>
          <w:szCs w:val="22"/>
        </w:rPr>
      </w:pPr>
      <w:r>
        <w:rPr>
          <w:rFonts w:cs="Arial"/>
          <w:b/>
          <w:sz w:val="22"/>
          <w:szCs w:val="22"/>
        </w:rPr>
        <w:t>Reporting of Transfers of Value to HCPs and HCOs</w:t>
      </w:r>
    </w:p>
    <w:p w14:paraId="3F5979AB" w14:textId="3B13166E" w:rsidR="00CB5D85" w:rsidRDefault="00CB2E66">
      <w:pPr>
        <w:jc w:val="center"/>
        <w:rPr>
          <w:rFonts w:cs="Arial"/>
          <w:b/>
          <w:sz w:val="22"/>
          <w:szCs w:val="22"/>
        </w:rPr>
      </w:pPr>
      <w:r>
        <w:rPr>
          <w:rFonts w:cs="Arial"/>
          <w:b/>
          <w:sz w:val="22"/>
          <w:szCs w:val="22"/>
        </w:rPr>
        <w:t>Methodological Note for Reporting of 202</w:t>
      </w:r>
      <w:r w:rsidR="00F4115A">
        <w:rPr>
          <w:rFonts w:cs="Arial"/>
          <w:b/>
          <w:sz w:val="22"/>
          <w:szCs w:val="22"/>
        </w:rPr>
        <w:t>4</w:t>
      </w:r>
      <w:r>
        <w:rPr>
          <w:rFonts w:cs="Arial"/>
          <w:b/>
          <w:sz w:val="22"/>
          <w:szCs w:val="22"/>
        </w:rPr>
        <w:t xml:space="preserve"> Data in 20</w:t>
      </w:r>
      <w:r w:rsidR="00F4115A">
        <w:rPr>
          <w:rFonts w:cs="Arial"/>
          <w:b/>
          <w:sz w:val="22"/>
          <w:szCs w:val="22"/>
        </w:rPr>
        <w:t>25</w:t>
      </w:r>
    </w:p>
    <w:p w14:paraId="329E9935" w14:textId="77777777" w:rsidR="00F4115A" w:rsidRPr="002A10F1" w:rsidRDefault="00F4115A" w:rsidP="002A10F1">
      <w:pPr>
        <w:rPr>
          <w:rFonts w:cs="Arial"/>
          <w:sz w:val="22"/>
          <w:szCs w:val="22"/>
        </w:rPr>
      </w:pPr>
    </w:p>
    <w:p w14:paraId="039491E5" w14:textId="77777777" w:rsidR="00F4115A" w:rsidRPr="00D227BD" w:rsidRDefault="00F4115A" w:rsidP="00D227BD">
      <w:pPr>
        <w:rPr>
          <w:rFonts w:cs="Arial"/>
          <w:sz w:val="22"/>
          <w:szCs w:val="22"/>
        </w:rPr>
      </w:pPr>
    </w:p>
    <w:p w14:paraId="24C7B04F" w14:textId="77777777" w:rsidR="00F4115A" w:rsidRPr="00D227BD" w:rsidRDefault="00F4115A" w:rsidP="00D227BD">
      <w:pPr>
        <w:rPr>
          <w:rFonts w:cs="Arial"/>
          <w:sz w:val="22"/>
          <w:szCs w:val="22"/>
        </w:rPr>
      </w:pPr>
    </w:p>
    <w:p w14:paraId="3AB92264" w14:textId="77777777" w:rsidR="00F4115A" w:rsidRPr="00D227BD" w:rsidRDefault="00F4115A" w:rsidP="00D227BD">
      <w:pPr>
        <w:rPr>
          <w:rFonts w:cs="Arial"/>
          <w:sz w:val="22"/>
          <w:szCs w:val="22"/>
        </w:rPr>
      </w:pPr>
    </w:p>
    <w:p w14:paraId="3E32EA3E" w14:textId="77777777" w:rsidR="00F4115A" w:rsidRPr="00D227BD" w:rsidRDefault="00F4115A" w:rsidP="00D227BD">
      <w:pPr>
        <w:rPr>
          <w:rFonts w:cs="Arial"/>
          <w:sz w:val="22"/>
          <w:szCs w:val="22"/>
        </w:rPr>
      </w:pPr>
    </w:p>
    <w:p w14:paraId="3B2BB2A2" w14:textId="77777777" w:rsidR="00F4115A" w:rsidRPr="00D227BD" w:rsidRDefault="00F4115A" w:rsidP="00D227BD">
      <w:pPr>
        <w:rPr>
          <w:rFonts w:cs="Arial"/>
          <w:sz w:val="22"/>
          <w:szCs w:val="22"/>
        </w:rPr>
      </w:pPr>
    </w:p>
    <w:p w14:paraId="014D6C45" w14:textId="77777777" w:rsidR="00F4115A" w:rsidRPr="00D227BD" w:rsidRDefault="00F4115A" w:rsidP="00D227BD">
      <w:pPr>
        <w:rPr>
          <w:rFonts w:cs="Arial"/>
          <w:sz w:val="22"/>
          <w:szCs w:val="22"/>
        </w:rPr>
      </w:pPr>
    </w:p>
    <w:p w14:paraId="1E37AE8E" w14:textId="77777777" w:rsidR="00F4115A" w:rsidRPr="00D227BD" w:rsidRDefault="00F4115A" w:rsidP="00D227BD">
      <w:pPr>
        <w:rPr>
          <w:rFonts w:cs="Arial"/>
          <w:sz w:val="22"/>
          <w:szCs w:val="22"/>
        </w:rPr>
      </w:pPr>
    </w:p>
    <w:p w14:paraId="2A00871A" w14:textId="77777777" w:rsidR="00F4115A" w:rsidRPr="00D227BD" w:rsidRDefault="00F4115A" w:rsidP="00D227BD">
      <w:pPr>
        <w:rPr>
          <w:rFonts w:cs="Arial"/>
          <w:sz w:val="22"/>
          <w:szCs w:val="22"/>
        </w:rPr>
      </w:pPr>
    </w:p>
    <w:p w14:paraId="7FFBADF6" w14:textId="77777777" w:rsidR="00F4115A" w:rsidRPr="00D227BD" w:rsidRDefault="00F4115A" w:rsidP="00D227BD">
      <w:pPr>
        <w:rPr>
          <w:rFonts w:cs="Arial"/>
          <w:sz w:val="22"/>
          <w:szCs w:val="22"/>
        </w:rPr>
      </w:pPr>
    </w:p>
    <w:p w14:paraId="3F95E57A" w14:textId="77777777" w:rsidR="00F4115A" w:rsidRPr="00D227BD" w:rsidRDefault="00F4115A" w:rsidP="00D227BD">
      <w:pPr>
        <w:rPr>
          <w:rFonts w:cs="Arial"/>
          <w:sz w:val="22"/>
          <w:szCs w:val="22"/>
        </w:rPr>
      </w:pPr>
    </w:p>
    <w:p w14:paraId="084105C6" w14:textId="77777777" w:rsidR="00F4115A" w:rsidRPr="00D227BD" w:rsidRDefault="00F4115A" w:rsidP="00D227BD">
      <w:pPr>
        <w:rPr>
          <w:rFonts w:cs="Arial"/>
          <w:sz w:val="22"/>
          <w:szCs w:val="22"/>
        </w:rPr>
      </w:pPr>
    </w:p>
    <w:p w14:paraId="7BA64873" w14:textId="77777777" w:rsidR="00F4115A" w:rsidRPr="00D227BD" w:rsidRDefault="00F4115A" w:rsidP="00D227BD">
      <w:pPr>
        <w:rPr>
          <w:rFonts w:cs="Arial"/>
          <w:sz w:val="22"/>
          <w:szCs w:val="22"/>
        </w:rPr>
      </w:pPr>
    </w:p>
    <w:p w14:paraId="7FEEC539" w14:textId="77777777" w:rsidR="00F4115A" w:rsidRPr="00D227BD" w:rsidRDefault="00F4115A" w:rsidP="00D227BD">
      <w:pPr>
        <w:rPr>
          <w:rFonts w:cs="Arial"/>
          <w:sz w:val="22"/>
          <w:szCs w:val="22"/>
        </w:rPr>
      </w:pPr>
    </w:p>
    <w:p w14:paraId="5A5CE053" w14:textId="77777777" w:rsidR="00F4115A" w:rsidRPr="00D227BD" w:rsidRDefault="00F4115A" w:rsidP="00D227BD">
      <w:pPr>
        <w:rPr>
          <w:rFonts w:cs="Arial"/>
          <w:sz w:val="22"/>
          <w:szCs w:val="22"/>
        </w:rPr>
      </w:pPr>
    </w:p>
    <w:p w14:paraId="57B27063" w14:textId="77777777" w:rsidR="00F4115A" w:rsidRPr="00D227BD" w:rsidRDefault="00F4115A" w:rsidP="00D227BD">
      <w:pPr>
        <w:rPr>
          <w:rFonts w:cs="Arial"/>
          <w:sz w:val="22"/>
          <w:szCs w:val="22"/>
        </w:rPr>
      </w:pPr>
    </w:p>
    <w:p w14:paraId="37041EC3" w14:textId="77777777" w:rsidR="00F4115A" w:rsidRPr="00D227BD" w:rsidRDefault="00F4115A" w:rsidP="00D227BD">
      <w:pPr>
        <w:rPr>
          <w:rFonts w:cs="Arial"/>
          <w:sz w:val="22"/>
          <w:szCs w:val="22"/>
        </w:rPr>
      </w:pPr>
    </w:p>
    <w:p w14:paraId="52ABA8DA" w14:textId="77777777" w:rsidR="00F4115A" w:rsidRPr="00D227BD" w:rsidRDefault="00F4115A" w:rsidP="00D227BD">
      <w:pPr>
        <w:rPr>
          <w:rFonts w:cs="Arial"/>
          <w:sz w:val="22"/>
          <w:szCs w:val="22"/>
        </w:rPr>
      </w:pPr>
    </w:p>
    <w:p w14:paraId="3B15820F" w14:textId="77777777" w:rsidR="00F4115A" w:rsidRPr="00D227BD" w:rsidRDefault="00F4115A" w:rsidP="00D227BD">
      <w:pPr>
        <w:rPr>
          <w:rFonts w:cs="Arial"/>
          <w:sz w:val="22"/>
          <w:szCs w:val="22"/>
        </w:rPr>
      </w:pPr>
    </w:p>
    <w:p w14:paraId="6F4119E6" w14:textId="77777777" w:rsidR="00F4115A" w:rsidRPr="00D227BD" w:rsidRDefault="00F4115A" w:rsidP="00D227BD">
      <w:pPr>
        <w:rPr>
          <w:rFonts w:cs="Arial"/>
          <w:sz w:val="22"/>
          <w:szCs w:val="22"/>
        </w:rPr>
      </w:pPr>
    </w:p>
    <w:p w14:paraId="153C9BE7" w14:textId="77777777" w:rsidR="00F4115A" w:rsidRPr="00D227BD" w:rsidRDefault="00F4115A" w:rsidP="00D227BD">
      <w:pPr>
        <w:rPr>
          <w:rFonts w:cs="Arial"/>
          <w:sz w:val="22"/>
          <w:szCs w:val="22"/>
        </w:rPr>
      </w:pPr>
    </w:p>
    <w:p w14:paraId="123FE9E4" w14:textId="77777777" w:rsidR="00F4115A" w:rsidRPr="00D227BD" w:rsidRDefault="00F4115A" w:rsidP="00D227BD">
      <w:pPr>
        <w:rPr>
          <w:rFonts w:cs="Arial"/>
          <w:sz w:val="22"/>
          <w:szCs w:val="22"/>
        </w:rPr>
      </w:pPr>
    </w:p>
    <w:p w14:paraId="4BECA5FF" w14:textId="77777777" w:rsidR="00F4115A" w:rsidRPr="00D227BD" w:rsidRDefault="00F4115A" w:rsidP="00D227BD">
      <w:pPr>
        <w:rPr>
          <w:rFonts w:cs="Arial"/>
          <w:sz w:val="22"/>
          <w:szCs w:val="22"/>
        </w:rPr>
      </w:pPr>
    </w:p>
    <w:p w14:paraId="7FCCC9ED" w14:textId="77777777" w:rsidR="00F4115A" w:rsidRPr="00D227BD" w:rsidRDefault="00F4115A" w:rsidP="00D227BD">
      <w:pPr>
        <w:rPr>
          <w:rFonts w:cs="Arial"/>
          <w:sz w:val="22"/>
          <w:szCs w:val="22"/>
        </w:rPr>
      </w:pPr>
    </w:p>
    <w:p w14:paraId="2F4B379D" w14:textId="77777777" w:rsidR="00F4115A" w:rsidRPr="00D227BD" w:rsidRDefault="00F4115A" w:rsidP="00D227BD">
      <w:pPr>
        <w:rPr>
          <w:rFonts w:cs="Arial"/>
          <w:sz w:val="22"/>
          <w:szCs w:val="22"/>
        </w:rPr>
      </w:pPr>
    </w:p>
    <w:p w14:paraId="0EBC0428" w14:textId="77777777" w:rsidR="00F4115A" w:rsidRPr="00D227BD" w:rsidRDefault="00F4115A" w:rsidP="00D227BD">
      <w:pPr>
        <w:rPr>
          <w:rFonts w:cs="Arial"/>
          <w:sz w:val="22"/>
          <w:szCs w:val="22"/>
        </w:rPr>
      </w:pPr>
    </w:p>
    <w:p w14:paraId="1404EA55" w14:textId="77777777" w:rsidR="00F4115A" w:rsidRPr="00D227BD" w:rsidRDefault="00F4115A" w:rsidP="00D227BD">
      <w:pPr>
        <w:rPr>
          <w:rFonts w:cs="Arial"/>
          <w:sz w:val="22"/>
          <w:szCs w:val="22"/>
        </w:rPr>
      </w:pPr>
    </w:p>
    <w:p w14:paraId="2A228CE3" w14:textId="77777777" w:rsidR="00F4115A" w:rsidRPr="00D227BD" w:rsidRDefault="00F4115A" w:rsidP="00D227BD">
      <w:pPr>
        <w:rPr>
          <w:rFonts w:cs="Arial"/>
          <w:sz w:val="22"/>
          <w:szCs w:val="22"/>
        </w:rPr>
      </w:pPr>
    </w:p>
    <w:p w14:paraId="75C0CB5B" w14:textId="77777777" w:rsidR="00F4115A" w:rsidRPr="00D227BD" w:rsidRDefault="00F4115A" w:rsidP="00D227BD">
      <w:pPr>
        <w:rPr>
          <w:rFonts w:cs="Arial"/>
          <w:sz w:val="22"/>
          <w:szCs w:val="22"/>
        </w:rPr>
      </w:pPr>
    </w:p>
    <w:p w14:paraId="2700B86B" w14:textId="77777777" w:rsidR="00F4115A" w:rsidRPr="00D227BD" w:rsidRDefault="00F4115A" w:rsidP="00D227BD">
      <w:pPr>
        <w:rPr>
          <w:rFonts w:cs="Arial"/>
          <w:sz w:val="22"/>
          <w:szCs w:val="22"/>
        </w:rPr>
      </w:pPr>
    </w:p>
    <w:p w14:paraId="2873538A" w14:textId="77777777" w:rsidR="00F4115A" w:rsidRPr="00D227BD" w:rsidRDefault="00F4115A" w:rsidP="00D227BD">
      <w:pPr>
        <w:rPr>
          <w:rFonts w:cs="Arial"/>
          <w:sz w:val="22"/>
          <w:szCs w:val="22"/>
        </w:rPr>
      </w:pPr>
    </w:p>
    <w:p w14:paraId="3F77AF18" w14:textId="77777777" w:rsidR="00F4115A" w:rsidRPr="00D227BD" w:rsidRDefault="00F4115A" w:rsidP="00D227BD">
      <w:pPr>
        <w:rPr>
          <w:rFonts w:cs="Arial"/>
          <w:sz w:val="22"/>
          <w:szCs w:val="22"/>
        </w:rPr>
      </w:pPr>
    </w:p>
    <w:p w14:paraId="2127E829" w14:textId="77777777" w:rsidR="00F4115A" w:rsidRPr="00D227BD" w:rsidRDefault="00F4115A" w:rsidP="00D227BD">
      <w:pPr>
        <w:rPr>
          <w:rFonts w:cs="Arial"/>
          <w:sz w:val="22"/>
          <w:szCs w:val="22"/>
        </w:rPr>
      </w:pPr>
    </w:p>
    <w:p w14:paraId="56BA0A7D" w14:textId="77777777" w:rsidR="00F4115A" w:rsidRPr="00D227BD" w:rsidRDefault="00F4115A" w:rsidP="00D227BD">
      <w:pPr>
        <w:rPr>
          <w:rFonts w:cs="Arial"/>
          <w:sz w:val="22"/>
          <w:szCs w:val="22"/>
        </w:rPr>
      </w:pPr>
    </w:p>
    <w:p w14:paraId="0F158D6C" w14:textId="77777777" w:rsidR="00F4115A" w:rsidRPr="00D227BD" w:rsidRDefault="00F4115A" w:rsidP="00D227BD">
      <w:pPr>
        <w:rPr>
          <w:rFonts w:cs="Arial"/>
          <w:sz w:val="22"/>
          <w:szCs w:val="22"/>
        </w:rPr>
      </w:pPr>
    </w:p>
    <w:p w14:paraId="33EBD322" w14:textId="77777777" w:rsidR="00F4115A" w:rsidRPr="00D227BD" w:rsidRDefault="00F4115A" w:rsidP="00D227BD">
      <w:pPr>
        <w:rPr>
          <w:rFonts w:cs="Arial"/>
          <w:sz w:val="22"/>
          <w:szCs w:val="22"/>
        </w:rPr>
      </w:pPr>
    </w:p>
    <w:p w14:paraId="648094F9" w14:textId="77777777" w:rsidR="00F4115A" w:rsidRPr="00D227BD" w:rsidRDefault="00F4115A" w:rsidP="00D227BD">
      <w:pPr>
        <w:rPr>
          <w:rFonts w:cs="Arial"/>
          <w:sz w:val="22"/>
          <w:szCs w:val="22"/>
        </w:rPr>
      </w:pPr>
    </w:p>
    <w:p w14:paraId="34ADFE47" w14:textId="77777777" w:rsidR="00F4115A" w:rsidRPr="00D227BD" w:rsidRDefault="00F4115A" w:rsidP="00D227BD">
      <w:pPr>
        <w:rPr>
          <w:rFonts w:cs="Arial"/>
          <w:sz w:val="22"/>
          <w:szCs w:val="22"/>
        </w:rPr>
      </w:pPr>
    </w:p>
    <w:p w14:paraId="401949A6" w14:textId="77777777" w:rsidR="00F4115A" w:rsidRPr="00D227BD" w:rsidRDefault="00F4115A" w:rsidP="00D227BD">
      <w:pPr>
        <w:rPr>
          <w:rFonts w:cs="Arial"/>
          <w:sz w:val="22"/>
          <w:szCs w:val="22"/>
        </w:rPr>
      </w:pPr>
    </w:p>
    <w:p w14:paraId="055654CF" w14:textId="77777777" w:rsidR="00F4115A" w:rsidRPr="00D227BD" w:rsidRDefault="00F4115A" w:rsidP="00D227BD">
      <w:pPr>
        <w:rPr>
          <w:rFonts w:cs="Arial"/>
          <w:sz w:val="22"/>
          <w:szCs w:val="22"/>
        </w:rPr>
      </w:pPr>
    </w:p>
    <w:p w14:paraId="11273EE2" w14:textId="77777777" w:rsidR="00F4115A" w:rsidRPr="00D227BD" w:rsidRDefault="00F4115A" w:rsidP="00D227BD">
      <w:pPr>
        <w:rPr>
          <w:rFonts w:cs="Arial"/>
          <w:sz w:val="22"/>
          <w:szCs w:val="22"/>
        </w:rPr>
      </w:pPr>
    </w:p>
    <w:p w14:paraId="1900C53B" w14:textId="77777777" w:rsidR="00F4115A" w:rsidRPr="00D227BD" w:rsidRDefault="00F4115A" w:rsidP="00D227BD">
      <w:pPr>
        <w:rPr>
          <w:rFonts w:cs="Arial"/>
          <w:sz w:val="22"/>
          <w:szCs w:val="22"/>
        </w:rPr>
      </w:pPr>
    </w:p>
    <w:p w14:paraId="54ACB2BE" w14:textId="77777777" w:rsidR="00F4115A" w:rsidRPr="00D227BD" w:rsidRDefault="00F4115A" w:rsidP="00D227BD">
      <w:pPr>
        <w:rPr>
          <w:rFonts w:cs="Arial"/>
          <w:sz w:val="22"/>
          <w:szCs w:val="22"/>
        </w:rPr>
      </w:pPr>
    </w:p>
    <w:p w14:paraId="67B155AD" w14:textId="77777777" w:rsidR="00F4115A" w:rsidRPr="00D227BD" w:rsidRDefault="00F4115A" w:rsidP="00D227BD">
      <w:pPr>
        <w:rPr>
          <w:rFonts w:cs="Arial"/>
          <w:sz w:val="22"/>
          <w:szCs w:val="22"/>
        </w:rPr>
      </w:pPr>
    </w:p>
    <w:p w14:paraId="7BB79E51" w14:textId="77777777" w:rsidR="00F4115A" w:rsidRPr="00D227BD" w:rsidRDefault="00F4115A" w:rsidP="00D227BD">
      <w:pPr>
        <w:rPr>
          <w:rFonts w:cs="Arial"/>
          <w:sz w:val="22"/>
          <w:szCs w:val="22"/>
        </w:rPr>
      </w:pPr>
    </w:p>
    <w:p w14:paraId="453820FE" w14:textId="77777777" w:rsidR="00F4115A" w:rsidRPr="00D227BD" w:rsidRDefault="00F4115A" w:rsidP="00D227BD">
      <w:pPr>
        <w:rPr>
          <w:rFonts w:cs="Arial"/>
          <w:sz w:val="22"/>
          <w:szCs w:val="22"/>
        </w:rPr>
      </w:pPr>
    </w:p>
    <w:p w14:paraId="323A0083" w14:textId="77777777" w:rsidR="00F4115A" w:rsidRPr="00D227BD" w:rsidRDefault="00F4115A" w:rsidP="00D227BD">
      <w:pPr>
        <w:rPr>
          <w:rFonts w:cs="Arial"/>
          <w:sz w:val="22"/>
          <w:szCs w:val="22"/>
        </w:rPr>
      </w:pPr>
    </w:p>
    <w:p w14:paraId="669D6272" w14:textId="77777777" w:rsidR="00CB5D85" w:rsidRDefault="00CB5D85">
      <w:pPr>
        <w:pStyle w:val="TOCHeading"/>
        <w:pageBreakBefore/>
        <w:outlineLvl w:val="9"/>
        <w:rPr>
          <w:rFonts w:cs="Arial"/>
          <w:b/>
          <w:sz w:val="22"/>
          <w:szCs w:val="22"/>
        </w:rPr>
      </w:pPr>
    </w:p>
    <w:p w14:paraId="3ED69AA3" w14:textId="77777777" w:rsidR="00CB5D85" w:rsidRDefault="00CB2E66">
      <w:pPr>
        <w:keepNext/>
        <w:keepLines/>
        <w:spacing w:before="240" w:line="249" w:lineRule="auto"/>
      </w:pPr>
      <w:r>
        <w:rPr>
          <w:rFonts w:cs="Arial"/>
          <w:b/>
          <w:sz w:val="22"/>
          <w:szCs w:val="22"/>
        </w:rPr>
        <w:t>Contents</w:t>
      </w:r>
    </w:p>
    <w:p w14:paraId="49F73648" w14:textId="77777777" w:rsidR="00CB5D85" w:rsidRDefault="00CB5D85">
      <w:pPr>
        <w:rPr>
          <w:rFonts w:cs="Arial"/>
          <w:sz w:val="22"/>
          <w:szCs w:val="22"/>
        </w:rPr>
      </w:pPr>
    </w:p>
    <w:p w14:paraId="5E9FEDF3" w14:textId="7D2E8CE4" w:rsidR="0074153C" w:rsidRDefault="00CB2E66">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r>
        <w:rPr>
          <w:rFonts w:ascii="Arial" w:eastAsia="Times New Roman" w:hAnsi="Arial" w:cs="Times New Roman"/>
          <w:sz w:val="20"/>
        </w:rPr>
        <w:fldChar w:fldCharType="begin"/>
      </w:r>
      <w:r>
        <w:instrText xml:space="preserve"> TOC \o "1-3" \u \h </w:instrText>
      </w:r>
      <w:r>
        <w:rPr>
          <w:rFonts w:ascii="Arial" w:eastAsia="Times New Roman" w:hAnsi="Arial" w:cs="Times New Roman"/>
          <w:sz w:val="20"/>
        </w:rPr>
        <w:fldChar w:fldCharType="separate"/>
      </w:r>
      <w:hyperlink w:anchor="_Toc196297186" w:history="1">
        <w:r w:rsidR="0074153C" w:rsidRPr="00530CAE">
          <w:rPr>
            <w:rStyle w:val="Hyperlink"/>
            <w:b/>
            <w:noProof/>
          </w:rPr>
          <w:t>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Introduction</w:t>
        </w:r>
        <w:r w:rsidR="0074153C">
          <w:rPr>
            <w:noProof/>
          </w:rPr>
          <w:tab/>
        </w:r>
        <w:r w:rsidR="0074153C">
          <w:rPr>
            <w:noProof/>
          </w:rPr>
          <w:fldChar w:fldCharType="begin"/>
        </w:r>
        <w:r w:rsidR="0074153C">
          <w:rPr>
            <w:noProof/>
          </w:rPr>
          <w:instrText xml:space="preserve"> PAGEREF _Toc196297186 \h </w:instrText>
        </w:r>
        <w:r w:rsidR="0074153C">
          <w:rPr>
            <w:noProof/>
          </w:rPr>
        </w:r>
        <w:r w:rsidR="0074153C">
          <w:rPr>
            <w:noProof/>
          </w:rPr>
          <w:fldChar w:fldCharType="separate"/>
        </w:r>
        <w:r w:rsidR="0074153C">
          <w:rPr>
            <w:noProof/>
          </w:rPr>
          <w:t>5</w:t>
        </w:r>
        <w:r w:rsidR="0074153C">
          <w:rPr>
            <w:noProof/>
          </w:rPr>
          <w:fldChar w:fldCharType="end"/>
        </w:r>
      </w:hyperlink>
    </w:p>
    <w:p w14:paraId="38786AAE" w14:textId="1E8705A4" w:rsidR="0074153C" w:rsidRDefault="00D227BD">
      <w:pPr>
        <w:pStyle w:val="TOC2"/>
        <w:tabs>
          <w:tab w:val="right" w:leader="dot" w:pos="9318"/>
        </w:tabs>
        <w:rPr>
          <w:rFonts w:asciiTheme="minorHAnsi" w:eastAsiaTheme="minorEastAsia" w:hAnsiTheme="minorHAnsi" w:cstheme="minorBidi"/>
          <w:noProof/>
          <w:kern w:val="2"/>
          <w:lang w:val="pl-PL" w:eastAsia="pl-PL"/>
          <w14:ligatures w14:val="standardContextual"/>
        </w:rPr>
      </w:pPr>
      <w:hyperlink w:anchor="_Toc196297187" w:history="1">
        <w:r w:rsidR="0074153C" w:rsidRPr="00530CAE">
          <w:rPr>
            <w:rStyle w:val="Hyperlink"/>
            <w:b/>
            <w:noProof/>
          </w:rPr>
          <w:t>Approach to disclosure at AZ</w:t>
        </w:r>
        <w:r w:rsidR="0074153C">
          <w:rPr>
            <w:noProof/>
          </w:rPr>
          <w:tab/>
        </w:r>
        <w:r w:rsidR="0074153C">
          <w:rPr>
            <w:noProof/>
          </w:rPr>
          <w:fldChar w:fldCharType="begin"/>
        </w:r>
        <w:r w:rsidR="0074153C">
          <w:rPr>
            <w:noProof/>
          </w:rPr>
          <w:instrText xml:space="preserve"> PAGEREF _Toc196297187 \h </w:instrText>
        </w:r>
        <w:r w:rsidR="0074153C">
          <w:rPr>
            <w:noProof/>
          </w:rPr>
        </w:r>
        <w:r w:rsidR="0074153C">
          <w:rPr>
            <w:noProof/>
          </w:rPr>
          <w:fldChar w:fldCharType="separate"/>
        </w:r>
        <w:r w:rsidR="0074153C">
          <w:rPr>
            <w:noProof/>
          </w:rPr>
          <w:t>5</w:t>
        </w:r>
        <w:r w:rsidR="0074153C">
          <w:rPr>
            <w:noProof/>
          </w:rPr>
          <w:fldChar w:fldCharType="end"/>
        </w:r>
      </w:hyperlink>
    </w:p>
    <w:p w14:paraId="7EA16229" w14:textId="70FBAB0B" w:rsidR="0074153C" w:rsidRDefault="00D227BD">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hyperlink w:anchor="_Toc196297188" w:history="1">
        <w:r w:rsidR="0074153C" w:rsidRPr="00530CAE">
          <w:rPr>
            <w:rStyle w:val="Hyperlink"/>
            <w:b/>
            <w:noProof/>
          </w:rPr>
          <w:t>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Definitions</w:t>
        </w:r>
        <w:r w:rsidR="0074153C">
          <w:rPr>
            <w:noProof/>
          </w:rPr>
          <w:tab/>
        </w:r>
        <w:r w:rsidR="0074153C">
          <w:rPr>
            <w:noProof/>
          </w:rPr>
          <w:fldChar w:fldCharType="begin"/>
        </w:r>
        <w:r w:rsidR="0074153C">
          <w:rPr>
            <w:noProof/>
          </w:rPr>
          <w:instrText xml:space="preserve"> PAGEREF _Toc196297188 \h </w:instrText>
        </w:r>
        <w:r w:rsidR="0074153C">
          <w:rPr>
            <w:noProof/>
          </w:rPr>
        </w:r>
        <w:r w:rsidR="0074153C">
          <w:rPr>
            <w:noProof/>
          </w:rPr>
          <w:fldChar w:fldCharType="separate"/>
        </w:r>
        <w:r w:rsidR="0074153C">
          <w:rPr>
            <w:noProof/>
          </w:rPr>
          <w:t>6</w:t>
        </w:r>
        <w:r w:rsidR="0074153C">
          <w:rPr>
            <w:noProof/>
          </w:rPr>
          <w:fldChar w:fldCharType="end"/>
        </w:r>
      </w:hyperlink>
    </w:p>
    <w:p w14:paraId="103FADA4" w14:textId="3380B59A"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189" w:history="1">
        <w:r w:rsidR="0074153C" w:rsidRPr="00530CAE">
          <w:rPr>
            <w:rStyle w:val="Hyperlink"/>
            <w:b/>
            <w:noProof/>
          </w:rPr>
          <w:t>2.1.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Recipients</w:t>
        </w:r>
        <w:r w:rsidR="0074153C">
          <w:rPr>
            <w:noProof/>
          </w:rPr>
          <w:tab/>
        </w:r>
        <w:r w:rsidR="0074153C">
          <w:rPr>
            <w:noProof/>
          </w:rPr>
          <w:fldChar w:fldCharType="begin"/>
        </w:r>
        <w:r w:rsidR="0074153C">
          <w:rPr>
            <w:noProof/>
          </w:rPr>
          <w:instrText xml:space="preserve"> PAGEREF _Toc196297189 \h </w:instrText>
        </w:r>
        <w:r w:rsidR="0074153C">
          <w:rPr>
            <w:noProof/>
          </w:rPr>
        </w:r>
        <w:r w:rsidR="0074153C">
          <w:rPr>
            <w:noProof/>
          </w:rPr>
          <w:fldChar w:fldCharType="separate"/>
        </w:r>
        <w:r w:rsidR="0074153C">
          <w:rPr>
            <w:noProof/>
          </w:rPr>
          <w:t>6</w:t>
        </w:r>
        <w:r w:rsidR="0074153C">
          <w:rPr>
            <w:noProof/>
          </w:rPr>
          <w:fldChar w:fldCharType="end"/>
        </w:r>
      </w:hyperlink>
    </w:p>
    <w:p w14:paraId="75F53209" w14:textId="43A54D37"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0" w:history="1">
        <w:r w:rsidR="0074153C" w:rsidRPr="00530CAE">
          <w:rPr>
            <w:rStyle w:val="Hyperlink"/>
            <w:noProof/>
          </w:rPr>
          <w:t>2.1.1.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Definition of an HCP</w:t>
        </w:r>
        <w:r w:rsidR="0074153C">
          <w:rPr>
            <w:noProof/>
          </w:rPr>
          <w:tab/>
        </w:r>
        <w:r w:rsidR="0074153C">
          <w:rPr>
            <w:noProof/>
          </w:rPr>
          <w:fldChar w:fldCharType="begin"/>
        </w:r>
        <w:r w:rsidR="0074153C">
          <w:rPr>
            <w:noProof/>
          </w:rPr>
          <w:instrText xml:space="preserve"> PAGEREF _Toc196297190 \h </w:instrText>
        </w:r>
        <w:r w:rsidR="0074153C">
          <w:rPr>
            <w:noProof/>
          </w:rPr>
        </w:r>
        <w:r w:rsidR="0074153C">
          <w:rPr>
            <w:noProof/>
          </w:rPr>
          <w:fldChar w:fldCharType="separate"/>
        </w:r>
        <w:r w:rsidR="0074153C">
          <w:rPr>
            <w:noProof/>
          </w:rPr>
          <w:t>6</w:t>
        </w:r>
        <w:r w:rsidR="0074153C">
          <w:rPr>
            <w:noProof/>
          </w:rPr>
          <w:fldChar w:fldCharType="end"/>
        </w:r>
      </w:hyperlink>
    </w:p>
    <w:p w14:paraId="5A8D6BB8" w14:textId="65A88BCC"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1" w:history="1">
        <w:r w:rsidR="0074153C" w:rsidRPr="00530CAE">
          <w:rPr>
            <w:rStyle w:val="Hyperlink"/>
            <w:noProof/>
          </w:rPr>
          <w:t>2.1.2.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Definition of an HCO</w:t>
        </w:r>
        <w:r w:rsidR="0074153C">
          <w:rPr>
            <w:noProof/>
          </w:rPr>
          <w:tab/>
        </w:r>
        <w:r w:rsidR="0074153C">
          <w:rPr>
            <w:noProof/>
          </w:rPr>
          <w:fldChar w:fldCharType="begin"/>
        </w:r>
        <w:r w:rsidR="0074153C">
          <w:rPr>
            <w:noProof/>
          </w:rPr>
          <w:instrText xml:space="preserve"> PAGEREF _Toc196297191 \h </w:instrText>
        </w:r>
        <w:r w:rsidR="0074153C">
          <w:rPr>
            <w:noProof/>
          </w:rPr>
        </w:r>
        <w:r w:rsidR="0074153C">
          <w:rPr>
            <w:noProof/>
          </w:rPr>
          <w:fldChar w:fldCharType="separate"/>
        </w:r>
        <w:r w:rsidR="0074153C">
          <w:rPr>
            <w:noProof/>
          </w:rPr>
          <w:t>6</w:t>
        </w:r>
        <w:r w:rsidR="0074153C">
          <w:rPr>
            <w:noProof/>
          </w:rPr>
          <w:fldChar w:fldCharType="end"/>
        </w:r>
      </w:hyperlink>
    </w:p>
    <w:p w14:paraId="7E6A53C6" w14:textId="30E89FDB"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192" w:history="1">
        <w:r w:rsidR="0074153C" w:rsidRPr="00530CAE">
          <w:rPr>
            <w:rStyle w:val="Hyperlink"/>
            <w:b/>
            <w:noProof/>
          </w:rPr>
          <w:t>2.2.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Kind of ToVs</w:t>
        </w:r>
        <w:r w:rsidR="0074153C">
          <w:rPr>
            <w:noProof/>
          </w:rPr>
          <w:tab/>
        </w:r>
        <w:r w:rsidR="0074153C">
          <w:rPr>
            <w:noProof/>
          </w:rPr>
          <w:fldChar w:fldCharType="begin"/>
        </w:r>
        <w:r w:rsidR="0074153C">
          <w:rPr>
            <w:noProof/>
          </w:rPr>
          <w:instrText xml:space="preserve"> PAGEREF _Toc196297192 \h </w:instrText>
        </w:r>
        <w:r w:rsidR="0074153C">
          <w:rPr>
            <w:noProof/>
          </w:rPr>
        </w:r>
        <w:r w:rsidR="0074153C">
          <w:rPr>
            <w:noProof/>
          </w:rPr>
          <w:fldChar w:fldCharType="separate"/>
        </w:r>
        <w:r w:rsidR="0074153C">
          <w:rPr>
            <w:noProof/>
          </w:rPr>
          <w:t>6</w:t>
        </w:r>
        <w:r w:rsidR="0074153C">
          <w:rPr>
            <w:noProof/>
          </w:rPr>
          <w:fldChar w:fldCharType="end"/>
        </w:r>
      </w:hyperlink>
    </w:p>
    <w:p w14:paraId="501CBC47" w14:textId="00F86BDB"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3" w:history="1">
        <w:r w:rsidR="0074153C" w:rsidRPr="00530CAE">
          <w:rPr>
            <w:rStyle w:val="Hyperlink"/>
            <w:noProof/>
          </w:rPr>
          <w:t>2.2.1.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Donations and Grants</w:t>
        </w:r>
        <w:r w:rsidR="0074153C">
          <w:rPr>
            <w:noProof/>
          </w:rPr>
          <w:tab/>
        </w:r>
        <w:r w:rsidR="0074153C">
          <w:rPr>
            <w:noProof/>
          </w:rPr>
          <w:fldChar w:fldCharType="begin"/>
        </w:r>
        <w:r w:rsidR="0074153C">
          <w:rPr>
            <w:noProof/>
          </w:rPr>
          <w:instrText xml:space="preserve"> PAGEREF _Toc196297193 \h </w:instrText>
        </w:r>
        <w:r w:rsidR="0074153C">
          <w:rPr>
            <w:noProof/>
          </w:rPr>
        </w:r>
        <w:r w:rsidR="0074153C">
          <w:rPr>
            <w:noProof/>
          </w:rPr>
          <w:fldChar w:fldCharType="separate"/>
        </w:r>
        <w:r w:rsidR="0074153C">
          <w:rPr>
            <w:noProof/>
          </w:rPr>
          <w:t>6</w:t>
        </w:r>
        <w:r w:rsidR="0074153C">
          <w:rPr>
            <w:noProof/>
          </w:rPr>
          <w:fldChar w:fldCharType="end"/>
        </w:r>
      </w:hyperlink>
    </w:p>
    <w:p w14:paraId="796FD89D" w14:textId="3AB519D1"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4" w:history="1">
        <w:r w:rsidR="0074153C" w:rsidRPr="00530CAE">
          <w:rPr>
            <w:rStyle w:val="Hyperlink"/>
            <w:noProof/>
          </w:rPr>
          <w:t>2.2.2.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Sponsorship agreements</w:t>
        </w:r>
        <w:r w:rsidR="0074153C">
          <w:rPr>
            <w:noProof/>
          </w:rPr>
          <w:tab/>
        </w:r>
        <w:r w:rsidR="0074153C">
          <w:rPr>
            <w:noProof/>
          </w:rPr>
          <w:fldChar w:fldCharType="begin"/>
        </w:r>
        <w:r w:rsidR="0074153C">
          <w:rPr>
            <w:noProof/>
          </w:rPr>
          <w:instrText xml:space="preserve"> PAGEREF _Toc196297194 \h </w:instrText>
        </w:r>
        <w:r w:rsidR="0074153C">
          <w:rPr>
            <w:noProof/>
          </w:rPr>
        </w:r>
        <w:r w:rsidR="0074153C">
          <w:rPr>
            <w:noProof/>
          </w:rPr>
          <w:fldChar w:fldCharType="separate"/>
        </w:r>
        <w:r w:rsidR="0074153C">
          <w:rPr>
            <w:noProof/>
          </w:rPr>
          <w:t>7</w:t>
        </w:r>
        <w:r w:rsidR="0074153C">
          <w:rPr>
            <w:noProof/>
          </w:rPr>
          <w:fldChar w:fldCharType="end"/>
        </w:r>
      </w:hyperlink>
    </w:p>
    <w:p w14:paraId="52D603A8" w14:textId="3C078A75"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5" w:history="1">
        <w:r w:rsidR="0074153C" w:rsidRPr="00530CAE">
          <w:rPr>
            <w:rStyle w:val="Hyperlink"/>
            <w:noProof/>
          </w:rPr>
          <w:t>2.2.3.</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Registration fees</w:t>
        </w:r>
        <w:r w:rsidR="0074153C">
          <w:rPr>
            <w:noProof/>
          </w:rPr>
          <w:tab/>
        </w:r>
        <w:r w:rsidR="0074153C">
          <w:rPr>
            <w:noProof/>
          </w:rPr>
          <w:fldChar w:fldCharType="begin"/>
        </w:r>
        <w:r w:rsidR="0074153C">
          <w:rPr>
            <w:noProof/>
          </w:rPr>
          <w:instrText xml:space="preserve"> PAGEREF _Toc196297195 \h </w:instrText>
        </w:r>
        <w:r w:rsidR="0074153C">
          <w:rPr>
            <w:noProof/>
          </w:rPr>
        </w:r>
        <w:r w:rsidR="0074153C">
          <w:rPr>
            <w:noProof/>
          </w:rPr>
          <w:fldChar w:fldCharType="separate"/>
        </w:r>
        <w:r w:rsidR="0074153C">
          <w:rPr>
            <w:noProof/>
          </w:rPr>
          <w:t>7</w:t>
        </w:r>
        <w:r w:rsidR="0074153C">
          <w:rPr>
            <w:noProof/>
          </w:rPr>
          <w:fldChar w:fldCharType="end"/>
        </w:r>
      </w:hyperlink>
    </w:p>
    <w:p w14:paraId="77573159" w14:textId="423E213D"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6" w:history="1">
        <w:r w:rsidR="0074153C" w:rsidRPr="00530CAE">
          <w:rPr>
            <w:rStyle w:val="Hyperlink"/>
            <w:noProof/>
          </w:rPr>
          <w:t>2.2.4.</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Travel and Accommodation</w:t>
        </w:r>
        <w:r w:rsidR="0074153C">
          <w:rPr>
            <w:noProof/>
          </w:rPr>
          <w:tab/>
        </w:r>
        <w:r w:rsidR="0074153C">
          <w:rPr>
            <w:noProof/>
          </w:rPr>
          <w:fldChar w:fldCharType="begin"/>
        </w:r>
        <w:r w:rsidR="0074153C">
          <w:rPr>
            <w:noProof/>
          </w:rPr>
          <w:instrText xml:space="preserve"> PAGEREF _Toc196297196 \h </w:instrText>
        </w:r>
        <w:r w:rsidR="0074153C">
          <w:rPr>
            <w:noProof/>
          </w:rPr>
        </w:r>
        <w:r w:rsidR="0074153C">
          <w:rPr>
            <w:noProof/>
          </w:rPr>
          <w:fldChar w:fldCharType="separate"/>
        </w:r>
        <w:r w:rsidR="0074153C">
          <w:rPr>
            <w:noProof/>
          </w:rPr>
          <w:t>7</w:t>
        </w:r>
        <w:r w:rsidR="0074153C">
          <w:rPr>
            <w:noProof/>
          </w:rPr>
          <w:fldChar w:fldCharType="end"/>
        </w:r>
      </w:hyperlink>
    </w:p>
    <w:p w14:paraId="670D240F" w14:textId="45235B3B"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7" w:history="1">
        <w:r w:rsidR="0074153C" w:rsidRPr="00530CAE">
          <w:rPr>
            <w:rStyle w:val="Hyperlink"/>
            <w:noProof/>
          </w:rPr>
          <w:t>2.2.5.</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Fees for service and consultancy and related expenses</w:t>
        </w:r>
        <w:r w:rsidR="0074153C">
          <w:rPr>
            <w:noProof/>
          </w:rPr>
          <w:tab/>
        </w:r>
        <w:r w:rsidR="0074153C">
          <w:rPr>
            <w:noProof/>
          </w:rPr>
          <w:fldChar w:fldCharType="begin"/>
        </w:r>
        <w:r w:rsidR="0074153C">
          <w:rPr>
            <w:noProof/>
          </w:rPr>
          <w:instrText xml:space="preserve"> PAGEREF _Toc196297197 \h </w:instrText>
        </w:r>
        <w:r w:rsidR="0074153C">
          <w:rPr>
            <w:noProof/>
          </w:rPr>
        </w:r>
        <w:r w:rsidR="0074153C">
          <w:rPr>
            <w:noProof/>
          </w:rPr>
          <w:fldChar w:fldCharType="separate"/>
        </w:r>
        <w:r w:rsidR="0074153C">
          <w:rPr>
            <w:noProof/>
          </w:rPr>
          <w:t>8</w:t>
        </w:r>
        <w:r w:rsidR="0074153C">
          <w:rPr>
            <w:noProof/>
          </w:rPr>
          <w:fldChar w:fldCharType="end"/>
        </w:r>
      </w:hyperlink>
    </w:p>
    <w:p w14:paraId="7E2D2FAF" w14:textId="778E85BC"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198" w:history="1">
        <w:r w:rsidR="0074153C" w:rsidRPr="00530CAE">
          <w:rPr>
            <w:rStyle w:val="Hyperlink"/>
            <w:noProof/>
          </w:rPr>
          <w:t>2.2.6.</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Research and Development</w:t>
        </w:r>
        <w:r w:rsidR="0074153C">
          <w:rPr>
            <w:noProof/>
          </w:rPr>
          <w:tab/>
        </w:r>
        <w:r w:rsidR="0074153C">
          <w:rPr>
            <w:noProof/>
          </w:rPr>
          <w:fldChar w:fldCharType="begin"/>
        </w:r>
        <w:r w:rsidR="0074153C">
          <w:rPr>
            <w:noProof/>
          </w:rPr>
          <w:instrText xml:space="preserve"> PAGEREF _Toc196297198 \h </w:instrText>
        </w:r>
        <w:r w:rsidR="0074153C">
          <w:rPr>
            <w:noProof/>
          </w:rPr>
        </w:r>
        <w:r w:rsidR="0074153C">
          <w:rPr>
            <w:noProof/>
          </w:rPr>
          <w:fldChar w:fldCharType="separate"/>
        </w:r>
        <w:r w:rsidR="0074153C">
          <w:rPr>
            <w:noProof/>
          </w:rPr>
          <w:t>8</w:t>
        </w:r>
        <w:r w:rsidR="0074153C">
          <w:rPr>
            <w:noProof/>
          </w:rPr>
          <w:fldChar w:fldCharType="end"/>
        </w:r>
      </w:hyperlink>
    </w:p>
    <w:p w14:paraId="268B3D6B" w14:textId="05378D80" w:rsidR="0074153C" w:rsidRDefault="00D227BD">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hyperlink w:anchor="_Toc196297199" w:history="1">
        <w:r w:rsidR="0074153C" w:rsidRPr="00530CAE">
          <w:rPr>
            <w:rStyle w:val="Hyperlink"/>
            <w:b/>
            <w:noProof/>
          </w:rPr>
          <w:t>3.</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Scope of disclosure</w:t>
        </w:r>
        <w:r w:rsidR="0074153C">
          <w:rPr>
            <w:noProof/>
          </w:rPr>
          <w:tab/>
        </w:r>
        <w:r w:rsidR="0074153C">
          <w:rPr>
            <w:noProof/>
          </w:rPr>
          <w:fldChar w:fldCharType="begin"/>
        </w:r>
        <w:r w:rsidR="0074153C">
          <w:rPr>
            <w:noProof/>
          </w:rPr>
          <w:instrText xml:space="preserve"> PAGEREF _Toc196297199 \h </w:instrText>
        </w:r>
        <w:r w:rsidR="0074153C">
          <w:rPr>
            <w:noProof/>
          </w:rPr>
        </w:r>
        <w:r w:rsidR="0074153C">
          <w:rPr>
            <w:noProof/>
          </w:rPr>
          <w:fldChar w:fldCharType="separate"/>
        </w:r>
        <w:r w:rsidR="0074153C">
          <w:rPr>
            <w:noProof/>
          </w:rPr>
          <w:t>9</w:t>
        </w:r>
        <w:r w:rsidR="0074153C">
          <w:rPr>
            <w:noProof/>
          </w:rPr>
          <w:fldChar w:fldCharType="end"/>
        </w:r>
      </w:hyperlink>
    </w:p>
    <w:p w14:paraId="46BFFAA0" w14:textId="36B8E464"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00" w:history="1">
        <w:r w:rsidR="0074153C" w:rsidRPr="00530CAE">
          <w:rPr>
            <w:rStyle w:val="Hyperlink"/>
            <w:b/>
            <w:noProof/>
          </w:rPr>
          <w:t>3.1.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Products concerned</w:t>
        </w:r>
        <w:r w:rsidR="0074153C">
          <w:rPr>
            <w:noProof/>
          </w:rPr>
          <w:tab/>
        </w:r>
        <w:r w:rsidR="0074153C">
          <w:rPr>
            <w:noProof/>
          </w:rPr>
          <w:fldChar w:fldCharType="begin"/>
        </w:r>
        <w:r w:rsidR="0074153C">
          <w:rPr>
            <w:noProof/>
          </w:rPr>
          <w:instrText xml:space="preserve"> PAGEREF _Toc196297200 \h </w:instrText>
        </w:r>
        <w:r w:rsidR="0074153C">
          <w:rPr>
            <w:noProof/>
          </w:rPr>
        </w:r>
        <w:r w:rsidR="0074153C">
          <w:rPr>
            <w:noProof/>
          </w:rPr>
          <w:fldChar w:fldCharType="separate"/>
        </w:r>
        <w:r w:rsidR="0074153C">
          <w:rPr>
            <w:noProof/>
          </w:rPr>
          <w:t>9</w:t>
        </w:r>
        <w:r w:rsidR="0074153C">
          <w:rPr>
            <w:noProof/>
          </w:rPr>
          <w:fldChar w:fldCharType="end"/>
        </w:r>
      </w:hyperlink>
    </w:p>
    <w:p w14:paraId="4DFEB446" w14:textId="1B14A6F9"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01" w:history="1">
        <w:r w:rsidR="0074153C" w:rsidRPr="00530CAE">
          <w:rPr>
            <w:rStyle w:val="Hyperlink"/>
            <w:b/>
            <w:noProof/>
          </w:rPr>
          <w:t>3.2.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Excluded ToVs</w:t>
        </w:r>
        <w:r w:rsidR="0074153C">
          <w:rPr>
            <w:noProof/>
          </w:rPr>
          <w:tab/>
        </w:r>
        <w:r w:rsidR="0074153C">
          <w:rPr>
            <w:noProof/>
          </w:rPr>
          <w:fldChar w:fldCharType="begin"/>
        </w:r>
        <w:r w:rsidR="0074153C">
          <w:rPr>
            <w:noProof/>
          </w:rPr>
          <w:instrText xml:space="preserve"> PAGEREF _Toc196297201 \h </w:instrText>
        </w:r>
        <w:r w:rsidR="0074153C">
          <w:rPr>
            <w:noProof/>
          </w:rPr>
        </w:r>
        <w:r w:rsidR="0074153C">
          <w:rPr>
            <w:noProof/>
          </w:rPr>
          <w:fldChar w:fldCharType="separate"/>
        </w:r>
        <w:r w:rsidR="0074153C">
          <w:rPr>
            <w:noProof/>
          </w:rPr>
          <w:t>9</w:t>
        </w:r>
        <w:r w:rsidR="0074153C">
          <w:rPr>
            <w:noProof/>
          </w:rPr>
          <w:fldChar w:fldCharType="end"/>
        </w:r>
      </w:hyperlink>
    </w:p>
    <w:p w14:paraId="3F56CDB4" w14:textId="18597F86"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02" w:history="1">
        <w:r w:rsidR="0074153C" w:rsidRPr="00530CAE">
          <w:rPr>
            <w:rStyle w:val="Hyperlink"/>
            <w:noProof/>
          </w:rPr>
          <w:t>3.2.1.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Hospitality costs</w:t>
        </w:r>
        <w:r w:rsidR="0074153C">
          <w:rPr>
            <w:noProof/>
          </w:rPr>
          <w:tab/>
        </w:r>
        <w:r w:rsidR="0074153C">
          <w:rPr>
            <w:noProof/>
          </w:rPr>
          <w:fldChar w:fldCharType="begin"/>
        </w:r>
        <w:r w:rsidR="0074153C">
          <w:rPr>
            <w:noProof/>
          </w:rPr>
          <w:instrText xml:space="preserve"> PAGEREF _Toc196297202 \h </w:instrText>
        </w:r>
        <w:r w:rsidR="0074153C">
          <w:rPr>
            <w:noProof/>
          </w:rPr>
        </w:r>
        <w:r w:rsidR="0074153C">
          <w:rPr>
            <w:noProof/>
          </w:rPr>
          <w:fldChar w:fldCharType="separate"/>
        </w:r>
        <w:r w:rsidR="0074153C">
          <w:rPr>
            <w:noProof/>
          </w:rPr>
          <w:t>9</w:t>
        </w:r>
        <w:r w:rsidR="0074153C">
          <w:rPr>
            <w:noProof/>
          </w:rPr>
          <w:fldChar w:fldCharType="end"/>
        </w:r>
      </w:hyperlink>
    </w:p>
    <w:p w14:paraId="001E37EE" w14:textId="63FEDD97"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03" w:history="1">
        <w:r w:rsidR="0074153C" w:rsidRPr="00530CAE">
          <w:rPr>
            <w:rStyle w:val="Hyperlink"/>
            <w:noProof/>
          </w:rPr>
          <w:t>3.2.2.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Informational and Educational Materials and Items of Medical Utility</w:t>
        </w:r>
        <w:r w:rsidR="0074153C">
          <w:rPr>
            <w:noProof/>
          </w:rPr>
          <w:tab/>
        </w:r>
        <w:r w:rsidR="0074153C">
          <w:rPr>
            <w:noProof/>
          </w:rPr>
          <w:fldChar w:fldCharType="begin"/>
        </w:r>
        <w:r w:rsidR="0074153C">
          <w:rPr>
            <w:noProof/>
          </w:rPr>
          <w:instrText xml:space="preserve"> PAGEREF _Toc196297203 \h </w:instrText>
        </w:r>
        <w:r w:rsidR="0074153C">
          <w:rPr>
            <w:noProof/>
          </w:rPr>
        </w:r>
        <w:r w:rsidR="0074153C">
          <w:rPr>
            <w:noProof/>
          </w:rPr>
          <w:fldChar w:fldCharType="separate"/>
        </w:r>
        <w:r w:rsidR="0074153C">
          <w:rPr>
            <w:noProof/>
          </w:rPr>
          <w:t>9</w:t>
        </w:r>
        <w:r w:rsidR="0074153C">
          <w:rPr>
            <w:noProof/>
          </w:rPr>
          <w:fldChar w:fldCharType="end"/>
        </w:r>
      </w:hyperlink>
    </w:p>
    <w:p w14:paraId="22544828" w14:textId="7CD0E812"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04" w:history="1">
        <w:r w:rsidR="0074153C" w:rsidRPr="00530CAE">
          <w:rPr>
            <w:rStyle w:val="Hyperlink"/>
            <w:noProof/>
          </w:rPr>
          <w:t>3.2.3.</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Logistical costs</w:t>
        </w:r>
        <w:r w:rsidR="0074153C">
          <w:rPr>
            <w:noProof/>
          </w:rPr>
          <w:tab/>
        </w:r>
        <w:r w:rsidR="0074153C">
          <w:rPr>
            <w:noProof/>
          </w:rPr>
          <w:fldChar w:fldCharType="begin"/>
        </w:r>
        <w:r w:rsidR="0074153C">
          <w:rPr>
            <w:noProof/>
          </w:rPr>
          <w:instrText xml:space="preserve"> PAGEREF _Toc196297204 \h </w:instrText>
        </w:r>
        <w:r w:rsidR="0074153C">
          <w:rPr>
            <w:noProof/>
          </w:rPr>
        </w:r>
        <w:r w:rsidR="0074153C">
          <w:rPr>
            <w:noProof/>
          </w:rPr>
          <w:fldChar w:fldCharType="separate"/>
        </w:r>
        <w:r w:rsidR="0074153C">
          <w:rPr>
            <w:noProof/>
          </w:rPr>
          <w:t>9</w:t>
        </w:r>
        <w:r w:rsidR="0074153C">
          <w:rPr>
            <w:noProof/>
          </w:rPr>
          <w:fldChar w:fldCharType="end"/>
        </w:r>
      </w:hyperlink>
    </w:p>
    <w:p w14:paraId="1660DDD5" w14:textId="5C474144"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05" w:history="1">
        <w:r w:rsidR="0074153C" w:rsidRPr="00530CAE">
          <w:rPr>
            <w:rStyle w:val="Hyperlink"/>
            <w:noProof/>
          </w:rPr>
          <w:t>3.2.4.</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Donations to charitable organisations &amp; Patient Organizations</w:t>
        </w:r>
        <w:r w:rsidR="0074153C">
          <w:rPr>
            <w:noProof/>
          </w:rPr>
          <w:tab/>
        </w:r>
        <w:r w:rsidR="0074153C">
          <w:rPr>
            <w:noProof/>
          </w:rPr>
          <w:fldChar w:fldCharType="begin"/>
        </w:r>
        <w:r w:rsidR="0074153C">
          <w:rPr>
            <w:noProof/>
          </w:rPr>
          <w:instrText xml:space="preserve"> PAGEREF _Toc196297205 \h </w:instrText>
        </w:r>
        <w:r w:rsidR="0074153C">
          <w:rPr>
            <w:noProof/>
          </w:rPr>
        </w:r>
        <w:r w:rsidR="0074153C">
          <w:rPr>
            <w:noProof/>
          </w:rPr>
          <w:fldChar w:fldCharType="separate"/>
        </w:r>
        <w:r w:rsidR="0074153C">
          <w:rPr>
            <w:noProof/>
          </w:rPr>
          <w:t>9</w:t>
        </w:r>
        <w:r w:rsidR="0074153C">
          <w:rPr>
            <w:noProof/>
          </w:rPr>
          <w:fldChar w:fldCharType="end"/>
        </w:r>
      </w:hyperlink>
    </w:p>
    <w:p w14:paraId="1D2AF831" w14:textId="5AB8A680"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06" w:history="1">
        <w:r w:rsidR="0074153C" w:rsidRPr="00530CAE">
          <w:rPr>
            <w:rStyle w:val="Hyperlink"/>
            <w:b/>
            <w:noProof/>
          </w:rPr>
          <w:t>3.3.</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Date of ToVs</w:t>
        </w:r>
        <w:r w:rsidR="0074153C">
          <w:rPr>
            <w:noProof/>
          </w:rPr>
          <w:tab/>
        </w:r>
        <w:r w:rsidR="0074153C">
          <w:rPr>
            <w:noProof/>
          </w:rPr>
          <w:fldChar w:fldCharType="begin"/>
        </w:r>
        <w:r w:rsidR="0074153C">
          <w:rPr>
            <w:noProof/>
          </w:rPr>
          <w:instrText xml:space="preserve"> PAGEREF _Toc196297206 \h </w:instrText>
        </w:r>
        <w:r w:rsidR="0074153C">
          <w:rPr>
            <w:noProof/>
          </w:rPr>
        </w:r>
        <w:r w:rsidR="0074153C">
          <w:rPr>
            <w:noProof/>
          </w:rPr>
          <w:fldChar w:fldCharType="separate"/>
        </w:r>
        <w:r w:rsidR="0074153C">
          <w:rPr>
            <w:noProof/>
          </w:rPr>
          <w:t>10</w:t>
        </w:r>
        <w:r w:rsidR="0074153C">
          <w:rPr>
            <w:noProof/>
          </w:rPr>
          <w:fldChar w:fldCharType="end"/>
        </w:r>
      </w:hyperlink>
    </w:p>
    <w:p w14:paraId="1480320A" w14:textId="4D9055B9"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07" w:history="1">
        <w:r w:rsidR="0074153C" w:rsidRPr="00530CAE">
          <w:rPr>
            <w:rStyle w:val="Hyperlink"/>
            <w:b/>
            <w:noProof/>
          </w:rPr>
          <w:t>3.4.</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Direct ToVs</w:t>
        </w:r>
        <w:r w:rsidR="0074153C">
          <w:rPr>
            <w:noProof/>
          </w:rPr>
          <w:tab/>
        </w:r>
        <w:r w:rsidR="0074153C">
          <w:rPr>
            <w:noProof/>
          </w:rPr>
          <w:fldChar w:fldCharType="begin"/>
        </w:r>
        <w:r w:rsidR="0074153C">
          <w:rPr>
            <w:noProof/>
          </w:rPr>
          <w:instrText xml:space="preserve"> PAGEREF _Toc196297207 \h </w:instrText>
        </w:r>
        <w:r w:rsidR="0074153C">
          <w:rPr>
            <w:noProof/>
          </w:rPr>
        </w:r>
        <w:r w:rsidR="0074153C">
          <w:rPr>
            <w:noProof/>
          </w:rPr>
          <w:fldChar w:fldCharType="separate"/>
        </w:r>
        <w:r w:rsidR="0074153C">
          <w:rPr>
            <w:noProof/>
          </w:rPr>
          <w:t>10</w:t>
        </w:r>
        <w:r w:rsidR="0074153C">
          <w:rPr>
            <w:noProof/>
          </w:rPr>
          <w:fldChar w:fldCharType="end"/>
        </w:r>
      </w:hyperlink>
    </w:p>
    <w:p w14:paraId="150C72FE" w14:textId="4CC109C8"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08" w:history="1">
        <w:r w:rsidR="0074153C" w:rsidRPr="00530CAE">
          <w:rPr>
            <w:rStyle w:val="Hyperlink"/>
            <w:b/>
            <w:noProof/>
          </w:rPr>
          <w:t>3.5.</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Indirect ToVs</w:t>
        </w:r>
        <w:r w:rsidR="0074153C">
          <w:rPr>
            <w:noProof/>
          </w:rPr>
          <w:tab/>
        </w:r>
        <w:r w:rsidR="0074153C">
          <w:rPr>
            <w:noProof/>
          </w:rPr>
          <w:fldChar w:fldCharType="begin"/>
        </w:r>
        <w:r w:rsidR="0074153C">
          <w:rPr>
            <w:noProof/>
          </w:rPr>
          <w:instrText xml:space="preserve"> PAGEREF _Toc196297208 \h </w:instrText>
        </w:r>
        <w:r w:rsidR="0074153C">
          <w:rPr>
            <w:noProof/>
          </w:rPr>
        </w:r>
        <w:r w:rsidR="0074153C">
          <w:rPr>
            <w:noProof/>
          </w:rPr>
          <w:fldChar w:fldCharType="separate"/>
        </w:r>
        <w:r w:rsidR="0074153C">
          <w:rPr>
            <w:noProof/>
          </w:rPr>
          <w:t>10</w:t>
        </w:r>
        <w:r w:rsidR="0074153C">
          <w:rPr>
            <w:noProof/>
          </w:rPr>
          <w:fldChar w:fldCharType="end"/>
        </w:r>
      </w:hyperlink>
    </w:p>
    <w:p w14:paraId="19A42715" w14:textId="4E6936F6"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09" w:history="1">
        <w:r w:rsidR="0074153C" w:rsidRPr="00530CAE">
          <w:rPr>
            <w:rStyle w:val="Hyperlink"/>
            <w:noProof/>
          </w:rPr>
          <w:t>3.5.1.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Indirect ToVs through CROs</w:t>
        </w:r>
        <w:r w:rsidR="0074153C">
          <w:rPr>
            <w:noProof/>
          </w:rPr>
          <w:tab/>
        </w:r>
        <w:r w:rsidR="0074153C">
          <w:rPr>
            <w:noProof/>
          </w:rPr>
          <w:fldChar w:fldCharType="begin"/>
        </w:r>
        <w:r w:rsidR="0074153C">
          <w:rPr>
            <w:noProof/>
          </w:rPr>
          <w:instrText xml:space="preserve"> PAGEREF _Toc196297209 \h </w:instrText>
        </w:r>
        <w:r w:rsidR="0074153C">
          <w:rPr>
            <w:noProof/>
          </w:rPr>
        </w:r>
        <w:r w:rsidR="0074153C">
          <w:rPr>
            <w:noProof/>
          </w:rPr>
          <w:fldChar w:fldCharType="separate"/>
        </w:r>
        <w:r w:rsidR="0074153C">
          <w:rPr>
            <w:noProof/>
          </w:rPr>
          <w:t>10</w:t>
        </w:r>
        <w:r w:rsidR="0074153C">
          <w:rPr>
            <w:noProof/>
          </w:rPr>
          <w:fldChar w:fldCharType="end"/>
        </w:r>
      </w:hyperlink>
    </w:p>
    <w:p w14:paraId="497C1BEE" w14:textId="7B178551"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10" w:history="1">
        <w:r w:rsidR="0074153C" w:rsidRPr="00530CAE">
          <w:rPr>
            <w:rStyle w:val="Hyperlink"/>
            <w:noProof/>
          </w:rPr>
          <w:t>3.5.2.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Indirect ToVs through other third parties</w:t>
        </w:r>
        <w:r w:rsidR="0074153C">
          <w:rPr>
            <w:noProof/>
          </w:rPr>
          <w:tab/>
        </w:r>
        <w:r w:rsidR="0074153C">
          <w:rPr>
            <w:noProof/>
          </w:rPr>
          <w:fldChar w:fldCharType="begin"/>
        </w:r>
        <w:r w:rsidR="0074153C">
          <w:rPr>
            <w:noProof/>
          </w:rPr>
          <w:instrText xml:space="preserve"> PAGEREF _Toc196297210 \h </w:instrText>
        </w:r>
        <w:r w:rsidR="0074153C">
          <w:rPr>
            <w:noProof/>
          </w:rPr>
        </w:r>
        <w:r w:rsidR="0074153C">
          <w:rPr>
            <w:noProof/>
          </w:rPr>
          <w:fldChar w:fldCharType="separate"/>
        </w:r>
        <w:r w:rsidR="0074153C">
          <w:rPr>
            <w:noProof/>
          </w:rPr>
          <w:t>10</w:t>
        </w:r>
        <w:r w:rsidR="0074153C">
          <w:rPr>
            <w:noProof/>
          </w:rPr>
          <w:fldChar w:fldCharType="end"/>
        </w:r>
      </w:hyperlink>
    </w:p>
    <w:p w14:paraId="3948685B" w14:textId="20D3AB41"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11" w:history="1">
        <w:r w:rsidR="0074153C" w:rsidRPr="00530CAE">
          <w:rPr>
            <w:rStyle w:val="Hyperlink"/>
            <w:noProof/>
          </w:rPr>
          <w:t>3.5.3.</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Indirect ToVs through HCOs</w:t>
        </w:r>
        <w:r w:rsidR="0074153C">
          <w:rPr>
            <w:noProof/>
          </w:rPr>
          <w:tab/>
        </w:r>
        <w:r w:rsidR="0074153C">
          <w:rPr>
            <w:noProof/>
          </w:rPr>
          <w:fldChar w:fldCharType="begin"/>
        </w:r>
        <w:r w:rsidR="0074153C">
          <w:rPr>
            <w:noProof/>
          </w:rPr>
          <w:instrText xml:space="preserve"> PAGEREF _Toc196297211 \h </w:instrText>
        </w:r>
        <w:r w:rsidR="0074153C">
          <w:rPr>
            <w:noProof/>
          </w:rPr>
        </w:r>
        <w:r w:rsidR="0074153C">
          <w:rPr>
            <w:noProof/>
          </w:rPr>
          <w:fldChar w:fldCharType="separate"/>
        </w:r>
        <w:r w:rsidR="0074153C">
          <w:rPr>
            <w:noProof/>
          </w:rPr>
          <w:t>11</w:t>
        </w:r>
        <w:r w:rsidR="0074153C">
          <w:rPr>
            <w:noProof/>
          </w:rPr>
          <w:fldChar w:fldCharType="end"/>
        </w:r>
      </w:hyperlink>
    </w:p>
    <w:p w14:paraId="29D83E4E" w14:textId="2259D889"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12" w:history="1">
        <w:r w:rsidR="0074153C" w:rsidRPr="00530CAE">
          <w:rPr>
            <w:rStyle w:val="Hyperlink"/>
            <w:b/>
            <w:noProof/>
          </w:rPr>
          <w:t>3.6.</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ToVs in case of partial attendances or cancellation</w:t>
        </w:r>
        <w:r w:rsidR="0074153C">
          <w:rPr>
            <w:noProof/>
          </w:rPr>
          <w:tab/>
        </w:r>
        <w:r w:rsidR="0074153C">
          <w:rPr>
            <w:noProof/>
          </w:rPr>
          <w:fldChar w:fldCharType="begin"/>
        </w:r>
        <w:r w:rsidR="0074153C">
          <w:rPr>
            <w:noProof/>
          </w:rPr>
          <w:instrText xml:space="preserve"> PAGEREF _Toc196297212 \h </w:instrText>
        </w:r>
        <w:r w:rsidR="0074153C">
          <w:rPr>
            <w:noProof/>
          </w:rPr>
        </w:r>
        <w:r w:rsidR="0074153C">
          <w:rPr>
            <w:noProof/>
          </w:rPr>
          <w:fldChar w:fldCharType="separate"/>
        </w:r>
        <w:r w:rsidR="0074153C">
          <w:rPr>
            <w:noProof/>
          </w:rPr>
          <w:t>11</w:t>
        </w:r>
        <w:r w:rsidR="0074153C">
          <w:rPr>
            <w:noProof/>
          </w:rPr>
          <w:fldChar w:fldCharType="end"/>
        </w:r>
      </w:hyperlink>
    </w:p>
    <w:p w14:paraId="67DB089B" w14:textId="14179932"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13" w:history="1">
        <w:r w:rsidR="0074153C" w:rsidRPr="00530CAE">
          <w:rPr>
            <w:rStyle w:val="Hyperlink"/>
            <w:b/>
            <w:noProof/>
          </w:rPr>
          <w:t>3.7.</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Cross-border activities</w:t>
        </w:r>
        <w:r w:rsidR="0074153C">
          <w:rPr>
            <w:noProof/>
          </w:rPr>
          <w:tab/>
        </w:r>
        <w:r w:rsidR="0074153C">
          <w:rPr>
            <w:noProof/>
          </w:rPr>
          <w:fldChar w:fldCharType="begin"/>
        </w:r>
        <w:r w:rsidR="0074153C">
          <w:rPr>
            <w:noProof/>
          </w:rPr>
          <w:instrText xml:space="preserve"> PAGEREF _Toc196297213 \h </w:instrText>
        </w:r>
        <w:r w:rsidR="0074153C">
          <w:rPr>
            <w:noProof/>
          </w:rPr>
        </w:r>
        <w:r w:rsidR="0074153C">
          <w:rPr>
            <w:noProof/>
          </w:rPr>
          <w:fldChar w:fldCharType="separate"/>
        </w:r>
        <w:r w:rsidR="0074153C">
          <w:rPr>
            <w:noProof/>
          </w:rPr>
          <w:t>11</w:t>
        </w:r>
        <w:r w:rsidR="0074153C">
          <w:rPr>
            <w:noProof/>
          </w:rPr>
          <w:fldChar w:fldCharType="end"/>
        </w:r>
      </w:hyperlink>
    </w:p>
    <w:p w14:paraId="58E60D15" w14:textId="3D8249AF"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14" w:history="1">
        <w:r w:rsidR="0074153C" w:rsidRPr="00530CAE">
          <w:rPr>
            <w:rStyle w:val="Hyperlink"/>
            <w:noProof/>
          </w:rPr>
          <w:t>3.7.1.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Cross-border activities</w:t>
        </w:r>
        <w:r w:rsidR="0074153C">
          <w:rPr>
            <w:noProof/>
          </w:rPr>
          <w:tab/>
        </w:r>
        <w:r w:rsidR="0074153C">
          <w:rPr>
            <w:noProof/>
          </w:rPr>
          <w:fldChar w:fldCharType="begin"/>
        </w:r>
        <w:r w:rsidR="0074153C">
          <w:rPr>
            <w:noProof/>
          </w:rPr>
          <w:instrText xml:space="preserve"> PAGEREF _Toc196297214 \h </w:instrText>
        </w:r>
        <w:r w:rsidR="0074153C">
          <w:rPr>
            <w:noProof/>
          </w:rPr>
        </w:r>
        <w:r w:rsidR="0074153C">
          <w:rPr>
            <w:noProof/>
          </w:rPr>
          <w:fldChar w:fldCharType="separate"/>
        </w:r>
        <w:r w:rsidR="0074153C">
          <w:rPr>
            <w:noProof/>
          </w:rPr>
          <w:t>11</w:t>
        </w:r>
        <w:r w:rsidR="0074153C">
          <w:rPr>
            <w:noProof/>
          </w:rPr>
          <w:fldChar w:fldCharType="end"/>
        </w:r>
      </w:hyperlink>
    </w:p>
    <w:p w14:paraId="0C90B241" w14:textId="4DD09F4B" w:rsidR="0074153C" w:rsidRDefault="00D227BD">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hyperlink w:anchor="_Toc196297215" w:history="1">
        <w:r w:rsidR="0074153C" w:rsidRPr="00530CAE">
          <w:rPr>
            <w:rStyle w:val="Hyperlink"/>
            <w:b/>
            <w:noProof/>
          </w:rPr>
          <w:t>4.</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Specific considerations</w:t>
        </w:r>
        <w:r w:rsidR="0074153C">
          <w:rPr>
            <w:noProof/>
          </w:rPr>
          <w:tab/>
        </w:r>
        <w:r w:rsidR="0074153C">
          <w:rPr>
            <w:noProof/>
          </w:rPr>
          <w:fldChar w:fldCharType="begin"/>
        </w:r>
        <w:r w:rsidR="0074153C">
          <w:rPr>
            <w:noProof/>
          </w:rPr>
          <w:instrText xml:space="preserve"> PAGEREF _Toc196297215 \h </w:instrText>
        </w:r>
        <w:r w:rsidR="0074153C">
          <w:rPr>
            <w:noProof/>
          </w:rPr>
        </w:r>
        <w:r w:rsidR="0074153C">
          <w:rPr>
            <w:noProof/>
          </w:rPr>
          <w:fldChar w:fldCharType="separate"/>
        </w:r>
        <w:r w:rsidR="0074153C">
          <w:rPr>
            <w:noProof/>
          </w:rPr>
          <w:t>11</w:t>
        </w:r>
        <w:r w:rsidR="0074153C">
          <w:rPr>
            <w:noProof/>
          </w:rPr>
          <w:fldChar w:fldCharType="end"/>
        </w:r>
      </w:hyperlink>
    </w:p>
    <w:p w14:paraId="26131000" w14:textId="3D94DB0C"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16" w:history="1">
        <w:r w:rsidR="0074153C" w:rsidRPr="00530CAE">
          <w:rPr>
            <w:rStyle w:val="Hyperlink"/>
            <w:b/>
            <w:noProof/>
          </w:rPr>
          <w:t>4.1.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Country unique identifier</w:t>
        </w:r>
        <w:r w:rsidR="0074153C">
          <w:rPr>
            <w:noProof/>
          </w:rPr>
          <w:tab/>
        </w:r>
        <w:r w:rsidR="0074153C">
          <w:rPr>
            <w:noProof/>
          </w:rPr>
          <w:fldChar w:fldCharType="begin"/>
        </w:r>
        <w:r w:rsidR="0074153C">
          <w:rPr>
            <w:noProof/>
          </w:rPr>
          <w:instrText xml:space="preserve"> PAGEREF _Toc196297216 \h </w:instrText>
        </w:r>
        <w:r w:rsidR="0074153C">
          <w:rPr>
            <w:noProof/>
          </w:rPr>
        </w:r>
        <w:r w:rsidR="0074153C">
          <w:rPr>
            <w:noProof/>
          </w:rPr>
          <w:fldChar w:fldCharType="separate"/>
        </w:r>
        <w:r w:rsidR="0074153C">
          <w:rPr>
            <w:noProof/>
          </w:rPr>
          <w:t>11</w:t>
        </w:r>
        <w:r w:rsidR="0074153C">
          <w:rPr>
            <w:noProof/>
          </w:rPr>
          <w:fldChar w:fldCharType="end"/>
        </w:r>
      </w:hyperlink>
    </w:p>
    <w:p w14:paraId="4459A62B" w14:textId="35397451" w:rsidR="0074153C" w:rsidRDefault="00D227BD">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hyperlink w:anchor="_Toc196297217" w:history="1">
        <w:r w:rsidR="0074153C" w:rsidRPr="00530CAE">
          <w:rPr>
            <w:rStyle w:val="Hyperlink"/>
            <w:b/>
            <w:noProof/>
          </w:rPr>
          <w:t>5.</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Management of recipient’s request</w:t>
        </w:r>
        <w:r w:rsidR="0074153C">
          <w:rPr>
            <w:noProof/>
          </w:rPr>
          <w:tab/>
        </w:r>
        <w:r w:rsidR="0074153C">
          <w:rPr>
            <w:noProof/>
          </w:rPr>
          <w:fldChar w:fldCharType="begin"/>
        </w:r>
        <w:r w:rsidR="0074153C">
          <w:rPr>
            <w:noProof/>
          </w:rPr>
          <w:instrText xml:space="preserve"> PAGEREF _Toc196297217 \h </w:instrText>
        </w:r>
        <w:r w:rsidR="0074153C">
          <w:rPr>
            <w:noProof/>
          </w:rPr>
        </w:r>
        <w:r w:rsidR="0074153C">
          <w:rPr>
            <w:noProof/>
          </w:rPr>
          <w:fldChar w:fldCharType="separate"/>
        </w:r>
        <w:r w:rsidR="0074153C">
          <w:rPr>
            <w:noProof/>
          </w:rPr>
          <w:t>11</w:t>
        </w:r>
        <w:r w:rsidR="0074153C">
          <w:rPr>
            <w:noProof/>
          </w:rPr>
          <w:fldChar w:fldCharType="end"/>
        </w:r>
      </w:hyperlink>
    </w:p>
    <w:p w14:paraId="3E48951D" w14:textId="4CA0BB51" w:rsidR="0074153C" w:rsidRDefault="00D227BD">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hyperlink w:anchor="_Toc196297218" w:history="1">
        <w:r w:rsidR="0074153C" w:rsidRPr="00530CAE">
          <w:rPr>
            <w:rStyle w:val="Hyperlink"/>
            <w:b/>
            <w:noProof/>
          </w:rPr>
          <w:t>6.</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Disclosure form</w:t>
        </w:r>
        <w:r w:rsidR="0074153C">
          <w:rPr>
            <w:noProof/>
          </w:rPr>
          <w:tab/>
        </w:r>
        <w:r w:rsidR="0074153C">
          <w:rPr>
            <w:noProof/>
          </w:rPr>
          <w:fldChar w:fldCharType="begin"/>
        </w:r>
        <w:r w:rsidR="0074153C">
          <w:rPr>
            <w:noProof/>
          </w:rPr>
          <w:instrText xml:space="preserve"> PAGEREF _Toc196297218 \h </w:instrText>
        </w:r>
        <w:r w:rsidR="0074153C">
          <w:rPr>
            <w:noProof/>
          </w:rPr>
        </w:r>
        <w:r w:rsidR="0074153C">
          <w:rPr>
            <w:noProof/>
          </w:rPr>
          <w:fldChar w:fldCharType="separate"/>
        </w:r>
        <w:r w:rsidR="0074153C">
          <w:rPr>
            <w:noProof/>
          </w:rPr>
          <w:t>12</w:t>
        </w:r>
        <w:r w:rsidR="0074153C">
          <w:rPr>
            <w:noProof/>
          </w:rPr>
          <w:fldChar w:fldCharType="end"/>
        </w:r>
      </w:hyperlink>
    </w:p>
    <w:p w14:paraId="018D5D0B" w14:textId="059278F8"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19" w:history="1">
        <w:r w:rsidR="0074153C" w:rsidRPr="00530CAE">
          <w:rPr>
            <w:rStyle w:val="Hyperlink"/>
            <w:b/>
            <w:noProof/>
          </w:rPr>
          <w:t>6.1.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Disclosure platform</w:t>
        </w:r>
        <w:r w:rsidR="0074153C">
          <w:rPr>
            <w:noProof/>
          </w:rPr>
          <w:tab/>
        </w:r>
        <w:r w:rsidR="0074153C">
          <w:rPr>
            <w:noProof/>
          </w:rPr>
          <w:fldChar w:fldCharType="begin"/>
        </w:r>
        <w:r w:rsidR="0074153C">
          <w:rPr>
            <w:noProof/>
          </w:rPr>
          <w:instrText xml:space="preserve"> PAGEREF _Toc196297219 \h </w:instrText>
        </w:r>
        <w:r w:rsidR="0074153C">
          <w:rPr>
            <w:noProof/>
          </w:rPr>
        </w:r>
        <w:r w:rsidR="0074153C">
          <w:rPr>
            <w:noProof/>
          </w:rPr>
          <w:fldChar w:fldCharType="separate"/>
        </w:r>
        <w:r w:rsidR="0074153C">
          <w:rPr>
            <w:noProof/>
          </w:rPr>
          <w:t>12</w:t>
        </w:r>
        <w:r w:rsidR="0074153C">
          <w:rPr>
            <w:noProof/>
          </w:rPr>
          <w:fldChar w:fldCharType="end"/>
        </w:r>
      </w:hyperlink>
    </w:p>
    <w:p w14:paraId="27372ADE" w14:textId="48E27129"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20" w:history="1">
        <w:r w:rsidR="0074153C" w:rsidRPr="00530CAE">
          <w:rPr>
            <w:rStyle w:val="Hyperlink"/>
            <w:noProof/>
          </w:rPr>
          <w:t>6.1.1.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Date of publication</w:t>
        </w:r>
        <w:r w:rsidR="0074153C">
          <w:rPr>
            <w:noProof/>
          </w:rPr>
          <w:tab/>
        </w:r>
        <w:r w:rsidR="0074153C">
          <w:rPr>
            <w:noProof/>
          </w:rPr>
          <w:fldChar w:fldCharType="begin"/>
        </w:r>
        <w:r w:rsidR="0074153C">
          <w:rPr>
            <w:noProof/>
          </w:rPr>
          <w:instrText xml:space="preserve"> PAGEREF _Toc196297220 \h </w:instrText>
        </w:r>
        <w:r w:rsidR="0074153C">
          <w:rPr>
            <w:noProof/>
          </w:rPr>
        </w:r>
        <w:r w:rsidR="0074153C">
          <w:rPr>
            <w:noProof/>
          </w:rPr>
          <w:fldChar w:fldCharType="separate"/>
        </w:r>
        <w:r w:rsidR="0074153C">
          <w:rPr>
            <w:noProof/>
          </w:rPr>
          <w:t>12</w:t>
        </w:r>
        <w:r w:rsidR="0074153C">
          <w:rPr>
            <w:noProof/>
          </w:rPr>
          <w:fldChar w:fldCharType="end"/>
        </w:r>
      </w:hyperlink>
    </w:p>
    <w:p w14:paraId="0A743F26" w14:textId="22557A85" w:rsidR="0074153C" w:rsidRDefault="00D227BD">
      <w:pPr>
        <w:pStyle w:val="TOC3"/>
        <w:tabs>
          <w:tab w:val="left" w:pos="1440"/>
          <w:tab w:val="right" w:leader="dot" w:pos="9318"/>
        </w:tabs>
        <w:rPr>
          <w:rFonts w:asciiTheme="minorHAnsi" w:eastAsiaTheme="minorEastAsia" w:hAnsiTheme="minorHAnsi" w:cstheme="minorBidi"/>
          <w:noProof/>
          <w:kern w:val="2"/>
          <w:lang w:val="pl-PL" w:eastAsia="pl-PL"/>
          <w14:ligatures w14:val="standardContextual"/>
        </w:rPr>
      </w:pPr>
      <w:hyperlink w:anchor="_Toc196297221" w:history="1">
        <w:r w:rsidR="0074153C" w:rsidRPr="00530CAE">
          <w:rPr>
            <w:rStyle w:val="Hyperlink"/>
            <w:noProof/>
          </w:rPr>
          <w:t>6.1.2.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noProof/>
          </w:rPr>
          <w:t>Retention of data</w:t>
        </w:r>
        <w:r w:rsidR="0074153C">
          <w:rPr>
            <w:noProof/>
          </w:rPr>
          <w:tab/>
        </w:r>
        <w:r w:rsidR="0074153C">
          <w:rPr>
            <w:noProof/>
          </w:rPr>
          <w:fldChar w:fldCharType="begin"/>
        </w:r>
        <w:r w:rsidR="0074153C">
          <w:rPr>
            <w:noProof/>
          </w:rPr>
          <w:instrText xml:space="preserve"> PAGEREF _Toc196297221 \h </w:instrText>
        </w:r>
        <w:r w:rsidR="0074153C">
          <w:rPr>
            <w:noProof/>
          </w:rPr>
        </w:r>
        <w:r w:rsidR="0074153C">
          <w:rPr>
            <w:noProof/>
          </w:rPr>
          <w:fldChar w:fldCharType="separate"/>
        </w:r>
        <w:r w:rsidR="0074153C">
          <w:rPr>
            <w:noProof/>
          </w:rPr>
          <w:t>12</w:t>
        </w:r>
        <w:r w:rsidR="0074153C">
          <w:rPr>
            <w:noProof/>
          </w:rPr>
          <w:fldChar w:fldCharType="end"/>
        </w:r>
      </w:hyperlink>
    </w:p>
    <w:p w14:paraId="28A75223" w14:textId="2EC0BA46"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22" w:history="1">
        <w:r w:rsidR="0074153C" w:rsidRPr="00530CAE">
          <w:rPr>
            <w:rStyle w:val="Hyperlink"/>
            <w:b/>
            <w:noProof/>
          </w:rPr>
          <w:t>6.2.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Disclosure language</w:t>
        </w:r>
        <w:r w:rsidR="0074153C">
          <w:rPr>
            <w:noProof/>
          </w:rPr>
          <w:tab/>
        </w:r>
        <w:r w:rsidR="0074153C">
          <w:rPr>
            <w:noProof/>
          </w:rPr>
          <w:fldChar w:fldCharType="begin"/>
        </w:r>
        <w:r w:rsidR="0074153C">
          <w:rPr>
            <w:noProof/>
          </w:rPr>
          <w:instrText xml:space="preserve"> PAGEREF _Toc196297222 \h </w:instrText>
        </w:r>
        <w:r w:rsidR="0074153C">
          <w:rPr>
            <w:noProof/>
          </w:rPr>
        </w:r>
        <w:r w:rsidR="0074153C">
          <w:rPr>
            <w:noProof/>
          </w:rPr>
          <w:fldChar w:fldCharType="separate"/>
        </w:r>
        <w:r w:rsidR="0074153C">
          <w:rPr>
            <w:noProof/>
          </w:rPr>
          <w:t>12</w:t>
        </w:r>
        <w:r w:rsidR="0074153C">
          <w:rPr>
            <w:noProof/>
          </w:rPr>
          <w:fldChar w:fldCharType="end"/>
        </w:r>
      </w:hyperlink>
    </w:p>
    <w:p w14:paraId="3606C2D3" w14:textId="0A18A3FE"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23" w:history="1">
        <w:r w:rsidR="0074153C" w:rsidRPr="00530CAE">
          <w:rPr>
            <w:rStyle w:val="Hyperlink"/>
            <w:b/>
            <w:noProof/>
          </w:rPr>
          <w:t>6.3.</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Pre-disclosure</w:t>
        </w:r>
        <w:r w:rsidR="0074153C">
          <w:rPr>
            <w:noProof/>
          </w:rPr>
          <w:tab/>
        </w:r>
        <w:r w:rsidR="0074153C">
          <w:rPr>
            <w:noProof/>
          </w:rPr>
          <w:fldChar w:fldCharType="begin"/>
        </w:r>
        <w:r w:rsidR="0074153C">
          <w:rPr>
            <w:noProof/>
          </w:rPr>
          <w:instrText xml:space="preserve"> PAGEREF _Toc196297223 \h </w:instrText>
        </w:r>
        <w:r w:rsidR="0074153C">
          <w:rPr>
            <w:noProof/>
          </w:rPr>
        </w:r>
        <w:r w:rsidR="0074153C">
          <w:rPr>
            <w:noProof/>
          </w:rPr>
          <w:fldChar w:fldCharType="separate"/>
        </w:r>
        <w:r w:rsidR="0074153C">
          <w:rPr>
            <w:noProof/>
          </w:rPr>
          <w:t>12</w:t>
        </w:r>
        <w:r w:rsidR="0074153C">
          <w:rPr>
            <w:noProof/>
          </w:rPr>
          <w:fldChar w:fldCharType="end"/>
        </w:r>
      </w:hyperlink>
    </w:p>
    <w:p w14:paraId="3C6CDA07" w14:textId="79B92B55" w:rsidR="0074153C" w:rsidRDefault="00D227BD">
      <w:pPr>
        <w:pStyle w:val="TOC1"/>
        <w:tabs>
          <w:tab w:val="left" w:pos="480"/>
          <w:tab w:val="right" w:leader="dot" w:pos="9318"/>
        </w:tabs>
        <w:rPr>
          <w:rFonts w:asciiTheme="minorHAnsi" w:eastAsiaTheme="minorEastAsia" w:hAnsiTheme="minorHAnsi" w:cstheme="minorBidi"/>
          <w:noProof/>
          <w:kern w:val="2"/>
          <w:lang w:val="pl-PL" w:eastAsia="pl-PL"/>
          <w14:ligatures w14:val="standardContextual"/>
        </w:rPr>
      </w:pPr>
      <w:hyperlink w:anchor="_Toc196297224" w:history="1">
        <w:r w:rsidR="0074153C" w:rsidRPr="00530CAE">
          <w:rPr>
            <w:rStyle w:val="Hyperlink"/>
            <w:b/>
            <w:noProof/>
          </w:rPr>
          <w:t>7.</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Disclosure financial data</w:t>
        </w:r>
        <w:r w:rsidR="0074153C">
          <w:rPr>
            <w:noProof/>
          </w:rPr>
          <w:tab/>
        </w:r>
        <w:r w:rsidR="0074153C">
          <w:rPr>
            <w:noProof/>
          </w:rPr>
          <w:fldChar w:fldCharType="begin"/>
        </w:r>
        <w:r w:rsidR="0074153C">
          <w:rPr>
            <w:noProof/>
          </w:rPr>
          <w:instrText xml:space="preserve"> PAGEREF _Toc196297224 \h </w:instrText>
        </w:r>
        <w:r w:rsidR="0074153C">
          <w:rPr>
            <w:noProof/>
          </w:rPr>
        </w:r>
        <w:r w:rsidR="0074153C">
          <w:rPr>
            <w:noProof/>
          </w:rPr>
          <w:fldChar w:fldCharType="separate"/>
        </w:r>
        <w:r w:rsidR="0074153C">
          <w:rPr>
            <w:noProof/>
          </w:rPr>
          <w:t>12</w:t>
        </w:r>
        <w:r w:rsidR="0074153C">
          <w:rPr>
            <w:noProof/>
          </w:rPr>
          <w:fldChar w:fldCharType="end"/>
        </w:r>
      </w:hyperlink>
    </w:p>
    <w:p w14:paraId="36F517B5" w14:textId="7EC381A6"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25" w:history="1">
        <w:r w:rsidR="0074153C" w:rsidRPr="00530CAE">
          <w:rPr>
            <w:rStyle w:val="Hyperlink"/>
            <w:b/>
            <w:noProof/>
          </w:rPr>
          <w:t>7.1.</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Currency</w:t>
        </w:r>
        <w:r w:rsidR="0074153C">
          <w:rPr>
            <w:noProof/>
          </w:rPr>
          <w:tab/>
        </w:r>
        <w:r w:rsidR="0074153C">
          <w:rPr>
            <w:noProof/>
          </w:rPr>
          <w:fldChar w:fldCharType="begin"/>
        </w:r>
        <w:r w:rsidR="0074153C">
          <w:rPr>
            <w:noProof/>
          </w:rPr>
          <w:instrText xml:space="preserve"> PAGEREF _Toc196297225 \h </w:instrText>
        </w:r>
        <w:r w:rsidR="0074153C">
          <w:rPr>
            <w:noProof/>
          </w:rPr>
        </w:r>
        <w:r w:rsidR="0074153C">
          <w:rPr>
            <w:noProof/>
          </w:rPr>
          <w:fldChar w:fldCharType="separate"/>
        </w:r>
        <w:r w:rsidR="0074153C">
          <w:rPr>
            <w:noProof/>
          </w:rPr>
          <w:t>12</w:t>
        </w:r>
        <w:r w:rsidR="0074153C">
          <w:rPr>
            <w:noProof/>
          </w:rPr>
          <w:fldChar w:fldCharType="end"/>
        </w:r>
      </w:hyperlink>
    </w:p>
    <w:p w14:paraId="739B5A6F" w14:textId="1E2C9A89" w:rsidR="0074153C" w:rsidRDefault="00D227BD">
      <w:pPr>
        <w:pStyle w:val="TOC2"/>
        <w:tabs>
          <w:tab w:val="left" w:pos="960"/>
          <w:tab w:val="right" w:leader="dot" w:pos="9318"/>
        </w:tabs>
        <w:rPr>
          <w:rFonts w:asciiTheme="minorHAnsi" w:eastAsiaTheme="minorEastAsia" w:hAnsiTheme="minorHAnsi" w:cstheme="minorBidi"/>
          <w:noProof/>
          <w:kern w:val="2"/>
          <w:lang w:val="pl-PL" w:eastAsia="pl-PL"/>
          <w14:ligatures w14:val="standardContextual"/>
        </w:rPr>
      </w:pPr>
      <w:hyperlink w:anchor="_Toc196297226" w:history="1">
        <w:r w:rsidR="0074153C" w:rsidRPr="00530CAE">
          <w:rPr>
            <w:rStyle w:val="Hyperlink"/>
            <w:b/>
            <w:noProof/>
          </w:rPr>
          <w:t>7.2.</w:t>
        </w:r>
        <w:r w:rsidR="0074153C">
          <w:rPr>
            <w:rFonts w:asciiTheme="minorHAnsi" w:eastAsiaTheme="minorEastAsia" w:hAnsiTheme="minorHAnsi" w:cstheme="minorBidi"/>
            <w:noProof/>
            <w:kern w:val="2"/>
            <w:lang w:val="pl-PL" w:eastAsia="pl-PL"/>
            <w14:ligatures w14:val="standardContextual"/>
          </w:rPr>
          <w:tab/>
        </w:r>
        <w:r w:rsidR="0074153C" w:rsidRPr="00530CAE">
          <w:rPr>
            <w:rStyle w:val="Hyperlink"/>
            <w:b/>
            <w:noProof/>
          </w:rPr>
          <w:t>Value Added Tax (VAT) and other taxes</w:t>
        </w:r>
        <w:r w:rsidR="0074153C">
          <w:rPr>
            <w:noProof/>
          </w:rPr>
          <w:tab/>
        </w:r>
        <w:r w:rsidR="0074153C">
          <w:rPr>
            <w:noProof/>
          </w:rPr>
          <w:fldChar w:fldCharType="begin"/>
        </w:r>
        <w:r w:rsidR="0074153C">
          <w:rPr>
            <w:noProof/>
          </w:rPr>
          <w:instrText xml:space="preserve"> PAGEREF _Toc196297226 \h </w:instrText>
        </w:r>
        <w:r w:rsidR="0074153C">
          <w:rPr>
            <w:noProof/>
          </w:rPr>
        </w:r>
        <w:r w:rsidR="0074153C">
          <w:rPr>
            <w:noProof/>
          </w:rPr>
          <w:fldChar w:fldCharType="separate"/>
        </w:r>
        <w:r w:rsidR="0074153C">
          <w:rPr>
            <w:noProof/>
          </w:rPr>
          <w:t>12</w:t>
        </w:r>
        <w:r w:rsidR="0074153C">
          <w:rPr>
            <w:noProof/>
          </w:rPr>
          <w:fldChar w:fldCharType="end"/>
        </w:r>
      </w:hyperlink>
    </w:p>
    <w:p w14:paraId="1326F2E3" w14:textId="77777777" w:rsidR="00CB5D85" w:rsidRDefault="00CB2E66">
      <w:r>
        <w:rPr>
          <w:rFonts w:ascii="Calibri" w:eastAsia="MS Mincho" w:hAnsi="Calibri" w:cs="Arial"/>
          <w:sz w:val="24"/>
        </w:rPr>
        <w:fldChar w:fldCharType="end"/>
      </w:r>
    </w:p>
    <w:p w14:paraId="5840B665" w14:textId="77777777" w:rsidR="00CB5D85" w:rsidRDefault="00CB5D85">
      <w:pPr>
        <w:pageBreakBefore/>
        <w:rPr>
          <w:rFonts w:cs="Arial"/>
          <w:color w:val="000000"/>
          <w:sz w:val="22"/>
          <w:szCs w:val="22"/>
        </w:rPr>
      </w:pPr>
    </w:p>
    <w:p w14:paraId="45A228EB" w14:textId="77777777" w:rsidR="00CB5D85" w:rsidRDefault="00CB2E66" w:rsidP="00D227BD">
      <w:pPr>
        <w:keepNext/>
        <w:keepLines/>
        <w:numPr>
          <w:ilvl w:val="0"/>
          <w:numId w:val="6"/>
        </w:numPr>
        <w:tabs>
          <w:tab w:val="num" w:pos="284"/>
          <w:tab w:val="num" w:pos="720"/>
        </w:tabs>
        <w:suppressAutoHyphens w:val="0"/>
        <w:autoSpaceDN/>
        <w:spacing w:before="240"/>
        <w:ind w:left="284" w:hanging="284"/>
        <w:outlineLvl w:val="0"/>
        <w:rPr>
          <w:rFonts w:cs="Arial"/>
          <w:b/>
          <w:sz w:val="22"/>
          <w:szCs w:val="22"/>
        </w:rPr>
      </w:pPr>
      <w:bookmarkStart w:id="0" w:name="_Toc446350363"/>
      <w:bookmarkStart w:id="1" w:name="_Toc196297186"/>
      <w:r>
        <w:rPr>
          <w:rFonts w:cs="Arial"/>
          <w:b/>
          <w:sz w:val="22"/>
          <w:szCs w:val="22"/>
        </w:rPr>
        <w:t>Introduction</w:t>
      </w:r>
      <w:bookmarkEnd w:id="0"/>
      <w:bookmarkEnd w:id="1"/>
    </w:p>
    <w:p w14:paraId="79088C3F" w14:textId="77777777" w:rsidR="00CB5D85" w:rsidRDefault="00CB5D85">
      <w:pPr>
        <w:rPr>
          <w:rFonts w:cs="Arial"/>
          <w:sz w:val="22"/>
          <w:szCs w:val="22"/>
        </w:rPr>
      </w:pPr>
    </w:p>
    <w:p w14:paraId="57F934A9" w14:textId="77777777" w:rsidR="00CB5D85" w:rsidRDefault="00CB2E66">
      <w:pPr>
        <w:keepNext/>
        <w:keepLines/>
        <w:spacing w:before="40"/>
        <w:ind w:left="709"/>
        <w:outlineLvl w:val="1"/>
        <w:rPr>
          <w:rFonts w:cs="Arial"/>
          <w:b/>
          <w:sz w:val="22"/>
          <w:szCs w:val="22"/>
        </w:rPr>
      </w:pPr>
      <w:bookmarkStart w:id="2" w:name="_Toc446350364"/>
      <w:bookmarkStart w:id="3" w:name="_Toc196297187"/>
      <w:r>
        <w:rPr>
          <w:rFonts w:cs="Arial"/>
          <w:b/>
          <w:sz w:val="22"/>
          <w:szCs w:val="22"/>
        </w:rPr>
        <w:t>Approach to disclosure at AZ</w:t>
      </w:r>
      <w:bookmarkEnd w:id="2"/>
      <w:bookmarkEnd w:id="3"/>
    </w:p>
    <w:p w14:paraId="0E662744" w14:textId="77777777" w:rsidR="00CB5D85" w:rsidRDefault="00CB5D85">
      <w:pPr>
        <w:rPr>
          <w:rFonts w:cs="Arial"/>
          <w:color w:val="000000"/>
          <w:sz w:val="22"/>
          <w:szCs w:val="22"/>
        </w:rPr>
      </w:pPr>
    </w:p>
    <w:p w14:paraId="7FFD1671" w14:textId="77777777" w:rsidR="00CB5D85" w:rsidRDefault="00CB2E66" w:rsidP="00D227BD">
      <w:pPr>
        <w:jc w:val="both"/>
        <w:rPr>
          <w:rFonts w:cs="Arial"/>
          <w:sz w:val="22"/>
          <w:szCs w:val="22"/>
        </w:rPr>
      </w:pPr>
      <w:r>
        <w:rPr>
          <w:rFonts w:cs="Arial"/>
          <w:sz w:val="22"/>
          <w:szCs w:val="22"/>
        </w:rPr>
        <w:t>Collaborative working between medical professionals and healthcare organizations has long been a positive driver for advancements in patient care and the development of innovative medicine. Medical professionals and the organizations with whom they work provide the pharmaceutical industry with valuable, independent and expert knowledge derived from their clinical and disease management experience. Furthermore, as the primary point of contact with patients, the medical professional can offer valuable expert knowledge on patient outcomes and therapy management. This helps to adapt our products to better suit patients and thereby improve patient care overall.</w:t>
      </w:r>
    </w:p>
    <w:p w14:paraId="2B52FCD7" w14:textId="77777777" w:rsidR="00CB5D85" w:rsidRDefault="00CB5D85" w:rsidP="00D227BD">
      <w:pPr>
        <w:jc w:val="both"/>
        <w:rPr>
          <w:rFonts w:cs="Arial"/>
          <w:sz w:val="22"/>
          <w:szCs w:val="22"/>
        </w:rPr>
      </w:pPr>
    </w:p>
    <w:p w14:paraId="29BA8D76" w14:textId="77777777" w:rsidR="00CB5D85" w:rsidRDefault="00CB2E66" w:rsidP="00D227BD">
      <w:pPr>
        <w:jc w:val="both"/>
        <w:rPr>
          <w:rFonts w:cs="Arial"/>
          <w:sz w:val="22"/>
          <w:szCs w:val="22"/>
        </w:rPr>
      </w:pPr>
      <w:r>
        <w:rPr>
          <w:rFonts w:cs="Arial"/>
          <w:sz w:val="22"/>
          <w:szCs w:val="22"/>
        </w:rPr>
        <w:t>Healthcare professionals and organizations should be fairly compensated for the services they provide to pharmaceutical companies. The EPFIA Disclosure Code (“Code”) provides accuracy and transparency in disclosing the scope and value of such collaborative work, and it will become an important step towards building greater trust between the pharmaceutical industry, medical community and patients.</w:t>
      </w:r>
    </w:p>
    <w:p w14:paraId="74D1BB09" w14:textId="77777777" w:rsidR="00CB5D85" w:rsidRDefault="00CB5D85" w:rsidP="00D227BD">
      <w:pPr>
        <w:jc w:val="both"/>
        <w:rPr>
          <w:rFonts w:cs="Arial"/>
          <w:sz w:val="22"/>
          <w:szCs w:val="22"/>
        </w:rPr>
      </w:pPr>
    </w:p>
    <w:p w14:paraId="2D0139F0" w14:textId="77777777" w:rsidR="00CB5D85" w:rsidRDefault="00CB2E66" w:rsidP="00D227BD">
      <w:pPr>
        <w:jc w:val="both"/>
        <w:rPr>
          <w:rFonts w:cs="Arial"/>
          <w:sz w:val="22"/>
          <w:szCs w:val="22"/>
        </w:rPr>
      </w:pPr>
      <w:r>
        <w:rPr>
          <w:rFonts w:cs="Arial"/>
          <w:sz w:val="22"/>
          <w:szCs w:val="22"/>
        </w:rPr>
        <w:t xml:space="preserve">As a member company of de Vereniging Innovatieve Geneesmiddelen (“VIG”) and as a full corporate member of EFPIA, AstraZeneca (“AZ”) is committed to transparency around interactions with Healthcare Professionals (HCPs) and Healthcare Organizations (HCOs) and that these are captured and reported in line with all applicable local transparency requirements.   </w:t>
      </w:r>
    </w:p>
    <w:p w14:paraId="231874CC" w14:textId="77777777" w:rsidR="00CB5D85" w:rsidRDefault="00CB5D85" w:rsidP="00D227BD">
      <w:pPr>
        <w:jc w:val="both"/>
        <w:rPr>
          <w:rFonts w:cs="Arial"/>
          <w:color w:val="000000"/>
          <w:sz w:val="22"/>
          <w:szCs w:val="22"/>
        </w:rPr>
      </w:pPr>
    </w:p>
    <w:p w14:paraId="7C4569F5" w14:textId="77777777" w:rsidR="00CB5D85" w:rsidRDefault="00CB2E66" w:rsidP="00D227BD">
      <w:pPr>
        <w:jc w:val="both"/>
      </w:pPr>
      <w:r>
        <w:rPr>
          <w:rFonts w:cs="Arial"/>
          <w:color w:val="000000"/>
          <w:sz w:val="22"/>
          <w:szCs w:val="22"/>
        </w:rPr>
        <w:t>The aims of the EFPIA Disclosure Code and its local interpretation in the CGR-Code of Conduct</w:t>
      </w:r>
      <w:r>
        <w:rPr>
          <w:rFonts w:cs="Arial"/>
          <w:color w:val="FF0000"/>
          <w:sz w:val="22"/>
          <w:szCs w:val="22"/>
        </w:rPr>
        <w:t xml:space="preserve"> </w:t>
      </w:r>
      <w:r>
        <w:rPr>
          <w:rFonts w:cs="Arial"/>
          <w:sz w:val="22"/>
          <w:szCs w:val="22"/>
        </w:rPr>
        <w:t>– to promote ethical and transparent interactions with the Healthcare community – are fully aligned with AZ’s own policies.  I</w:t>
      </w:r>
      <w:r>
        <w:rPr>
          <w:rFonts w:cs="Arial"/>
          <w:color w:val="000000"/>
          <w:sz w:val="22"/>
          <w:szCs w:val="22"/>
        </w:rPr>
        <w:t>nteractions with HCP/HCOs are governed by the AZ Global Standards, including zero tolerance for giving or receiving anything of value that is intended or could be seen as improper influence.</w:t>
      </w:r>
    </w:p>
    <w:p w14:paraId="0DFED085" w14:textId="77777777" w:rsidR="00CB5D85" w:rsidRDefault="00CB5D85" w:rsidP="00D227BD">
      <w:pPr>
        <w:jc w:val="both"/>
        <w:rPr>
          <w:rFonts w:cs="Arial"/>
          <w:color w:val="000000"/>
          <w:sz w:val="22"/>
          <w:szCs w:val="22"/>
        </w:rPr>
      </w:pPr>
    </w:p>
    <w:p w14:paraId="0392432E" w14:textId="77777777" w:rsidR="00CB5D85" w:rsidRDefault="00CB2E66" w:rsidP="00D227BD">
      <w:pPr>
        <w:jc w:val="both"/>
        <w:rPr>
          <w:rFonts w:cs="Arial"/>
          <w:color w:val="000000"/>
          <w:sz w:val="22"/>
          <w:szCs w:val="22"/>
        </w:rPr>
      </w:pPr>
      <w:r>
        <w:rPr>
          <w:rFonts w:cs="Arial"/>
          <w:color w:val="000000"/>
          <w:sz w:val="22"/>
          <w:szCs w:val="22"/>
        </w:rPr>
        <w:t>Producing transparency reporting is an opportunity for AZ to demonstrate its commitment to the values and principles behind the EFPIA Disclosure Code and other transparency requirements in Europe.</w:t>
      </w:r>
    </w:p>
    <w:p w14:paraId="1D27EC6B" w14:textId="77777777" w:rsidR="00CB5D85" w:rsidRDefault="00CB5D85" w:rsidP="00D227BD">
      <w:pPr>
        <w:jc w:val="both"/>
        <w:rPr>
          <w:rFonts w:cs="Arial"/>
          <w:color w:val="000000"/>
          <w:sz w:val="22"/>
          <w:szCs w:val="22"/>
        </w:rPr>
      </w:pPr>
    </w:p>
    <w:p w14:paraId="1FA57AE6" w14:textId="77777777" w:rsidR="00CB5D85" w:rsidRDefault="00CB2E66" w:rsidP="00D227BD">
      <w:pPr>
        <w:jc w:val="both"/>
        <w:rPr>
          <w:rFonts w:cs="Arial"/>
          <w:color w:val="000000"/>
          <w:sz w:val="22"/>
          <w:szCs w:val="22"/>
        </w:rPr>
      </w:pPr>
      <w:r>
        <w:rPr>
          <w:rFonts w:cs="Arial"/>
          <w:color w:val="000000"/>
          <w:sz w:val="22"/>
          <w:szCs w:val="22"/>
        </w:rPr>
        <w:t xml:space="preserve">The objective of this note is to explain AZ’s approach to </w:t>
      </w:r>
      <w:proofErr w:type="gramStart"/>
      <w:r>
        <w:rPr>
          <w:rFonts w:cs="Arial"/>
          <w:color w:val="000000"/>
          <w:sz w:val="22"/>
          <w:szCs w:val="22"/>
        </w:rPr>
        <w:t>disclosure,</w:t>
      </w:r>
      <w:proofErr w:type="gramEnd"/>
      <w:r>
        <w:rPr>
          <w:rFonts w:cs="Arial"/>
          <w:color w:val="000000"/>
          <w:sz w:val="22"/>
          <w:szCs w:val="22"/>
        </w:rPr>
        <w:t xml:space="preserve"> to include key definitions, the scope of disclosed activities and key elements of the process followed to capture and report data.</w:t>
      </w:r>
    </w:p>
    <w:p w14:paraId="2A687B9C" w14:textId="77777777" w:rsidR="00CB5D85" w:rsidRDefault="00CB5D85">
      <w:pPr>
        <w:rPr>
          <w:rFonts w:cs="Arial"/>
          <w:color w:val="000000"/>
          <w:sz w:val="22"/>
          <w:szCs w:val="22"/>
        </w:rPr>
      </w:pPr>
    </w:p>
    <w:p w14:paraId="055AD00A" w14:textId="77777777" w:rsidR="00CB5D85" w:rsidRDefault="00CB2E66">
      <w:pPr>
        <w:rPr>
          <w:rFonts w:cs="Arial"/>
          <w:color w:val="000000"/>
          <w:sz w:val="22"/>
          <w:szCs w:val="22"/>
        </w:rPr>
      </w:pPr>
      <w:r>
        <w:rPr>
          <w:rFonts w:cs="Arial"/>
          <w:color w:val="000000"/>
          <w:sz w:val="22"/>
          <w:szCs w:val="22"/>
        </w:rPr>
        <w:t>At a high level, there are three main tenets that characterize the AZ approach:</w:t>
      </w:r>
    </w:p>
    <w:p w14:paraId="07EBC43C" w14:textId="77777777" w:rsidR="00CB5D85" w:rsidRDefault="00CB5D85">
      <w:pPr>
        <w:rPr>
          <w:rFonts w:cs="Arial"/>
          <w:color w:val="000000"/>
          <w:sz w:val="22"/>
          <w:szCs w:val="22"/>
        </w:rPr>
      </w:pPr>
    </w:p>
    <w:p w14:paraId="7AD3F8E7" w14:textId="77777777" w:rsidR="00CB5D85" w:rsidRDefault="00CB2E66">
      <w:pPr>
        <w:rPr>
          <w:rFonts w:cs="Arial"/>
          <w:b/>
          <w:color w:val="000000"/>
          <w:sz w:val="22"/>
          <w:szCs w:val="22"/>
        </w:rPr>
      </w:pPr>
      <w:r>
        <w:rPr>
          <w:rFonts w:cs="Arial"/>
          <w:b/>
          <w:color w:val="000000"/>
          <w:sz w:val="22"/>
          <w:szCs w:val="22"/>
        </w:rPr>
        <w:t xml:space="preserve"> (</w:t>
      </w:r>
      <w:r w:rsidRPr="00D227BD">
        <w:rPr>
          <w:rFonts w:cs="Arial"/>
          <w:b/>
          <w:sz w:val="22"/>
          <w:szCs w:val="22"/>
        </w:rPr>
        <w:t>1) Affiliate accountability and regional consolidation</w:t>
      </w:r>
      <w:r>
        <w:rPr>
          <w:rFonts w:cs="Arial"/>
          <w:b/>
          <w:color w:val="000000"/>
          <w:sz w:val="22"/>
          <w:szCs w:val="22"/>
        </w:rPr>
        <w:t xml:space="preserve"> </w:t>
      </w:r>
    </w:p>
    <w:p w14:paraId="31009E38" w14:textId="77777777" w:rsidR="00CB5D85" w:rsidRDefault="00CB2E66">
      <w:pPr>
        <w:rPr>
          <w:rFonts w:cs="Arial"/>
          <w:color w:val="000000"/>
          <w:sz w:val="22"/>
          <w:szCs w:val="22"/>
        </w:rPr>
      </w:pPr>
      <w:r>
        <w:rPr>
          <w:rFonts w:cs="Arial"/>
          <w:color w:val="000000"/>
          <w:sz w:val="22"/>
          <w:szCs w:val="22"/>
        </w:rPr>
        <w:t>Affiliates are responsible for capturing the Transfers of Value (</w:t>
      </w:r>
      <w:proofErr w:type="spellStart"/>
      <w:r>
        <w:rPr>
          <w:rFonts w:cs="Arial"/>
          <w:color w:val="000000"/>
          <w:sz w:val="22"/>
          <w:szCs w:val="22"/>
        </w:rPr>
        <w:t>ToVs</w:t>
      </w:r>
      <w:proofErr w:type="spellEnd"/>
      <w:r>
        <w:rPr>
          <w:rFonts w:cs="Arial"/>
          <w:color w:val="000000"/>
          <w:sz w:val="22"/>
          <w:szCs w:val="22"/>
        </w:rPr>
        <w:t xml:space="preserve">) made in their affiliates and for validating the accuracy of the data.  A regional reporting solution consolidates the </w:t>
      </w:r>
      <w:proofErr w:type="spellStart"/>
      <w:r>
        <w:rPr>
          <w:rFonts w:cs="Arial"/>
          <w:color w:val="000000"/>
          <w:sz w:val="22"/>
          <w:szCs w:val="22"/>
        </w:rPr>
        <w:t>ToVs</w:t>
      </w:r>
      <w:proofErr w:type="spellEnd"/>
      <w:r>
        <w:rPr>
          <w:rFonts w:cs="Arial"/>
          <w:color w:val="000000"/>
          <w:sz w:val="22"/>
          <w:szCs w:val="22"/>
        </w:rPr>
        <w:t>, providing consistency and automating inclusion of cross border payments within Europe. Other cross border payments are collected through a payment system (US) or manually (rest of world).</w:t>
      </w:r>
    </w:p>
    <w:p w14:paraId="7FC29E2F" w14:textId="77777777" w:rsidR="00CB5D85" w:rsidRDefault="00CB5D85">
      <w:pPr>
        <w:rPr>
          <w:rFonts w:cs="Arial"/>
          <w:color w:val="000000"/>
          <w:sz w:val="22"/>
          <w:szCs w:val="22"/>
        </w:rPr>
      </w:pPr>
    </w:p>
    <w:p w14:paraId="683B7B17" w14:textId="77777777" w:rsidR="00CB5D85" w:rsidRDefault="00CB2E66" w:rsidP="00D227BD">
      <w:pPr>
        <w:suppressAutoHyphens w:val="0"/>
        <w:autoSpaceDN/>
        <w:rPr>
          <w:rFonts w:cs="Arial"/>
          <w:b/>
          <w:color w:val="000000"/>
          <w:sz w:val="22"/>
          <w:szCs w:val="22"/>
        </w:rPr>
      </w:pPr>
      <w:r>
        <w:rPr>
          <w:rFonts w:cs="Arial"/>
          <w:b/>
          <w:color w:val="000000"/>
          <w:sz w:val="22"/>
          <w:szCs w:val="22"/>
        </w:rPr>
        <w:t>(2) Compliance with local codes</w:t>
      </w:r>
    </w:p>
    <w:p w14:paraId="4CEE11AC" w14:textId="77777777" w:rsidR="00CB5D85" w:rsidRDefault="00CB2E66">
      <w:pPr>
        <w:rPr>
          <w:rFonts w:cs="Arial"/>
          <w:color w:val="000000"/>
          <w:sz w:val="22"/>
          <w:szCs w:val="22"/>
        </w:rPr>
      </w:pPr>
      <w:r>
        <w:rPr>
          <w:rFonts w:cs="Arial"/>
          <w:color w:val="000000"/>
          <w:sz w:val="22"/>
          <w:szCs w:val="22"/>
        </w:rPr>
        <w:lastRenderedPageBreak/>
        <w:t xml:space="preserve">Unless there are strong </w:t>
      </w:r>
      <w:proofErr w:type="gramStart"/>
      <w:r>
        <w:rPr>
          <w:rFonts w:cs="Arial"/>
          <w:color w:val="000000"/>
          <w:sz w:val="22"/>
          <w:szCs w:val="22"/>
        </w:rPr>
        <w:t>legal</w:t>
      </w:r>
      <w:proofErr w:type="gramEnd"/>
      <w:r>
        <w:rPr>
          <w:rFonts w:cs="Arial"/>
          <w:color w:val="000000"/>
          <w:sz w:val="22"/>
          <w:szCs w:val="22"/>
        </w:rPr>
        <w:t xml:space="preserve"> mandatory requirements, affiliates have transposed the Code in full i.e. without deviations. In each country, AZ will comply with applicable local disclosure requirements. There may be variations (stricter than the provision in the Code) or deviations (where because of mandatory national regulations the Code cannot be transposed in full).</w:t>
      </w:r>
    </w:p>
    <w:p w14:paraId="6428D809" w14:textId="77777777" w:rsidR="00CB5D85" w:rsidRDefault="00CB5D85">
      <w:pPr>
        <w:rPr>
          <w:rFonts w:cs="Arial"/>
          <w:color w:val="000000"/>
          <w:sz w:val="22"/>
          <w:szCs w:val="22"/>
        </w:rPr>
      </w:pPr>
    </w:p>
    <w:p w14:paraId="0DF4C855" w14:textId="77777777" w:rsidR="00CB5D85" w:rsidRDefault="00CB2E66" w:rsidP="00D227BD">
      <w:pPr>
        <w:suppressAutoHyphens w:val="0"/>
        <w:autoSpaceDN/>
        <w:rPr>
          <w:rFonts w:cs="Arial"/>
          <w:b/>
          <w:color w:val="000000"/>
          <w:sz w:val="22"/>
          <w:szCs w:val="22"/>
        </w:rPr>
      </w:pPr>
      <w:r>
        <w:rPr>
          <w:rFonts w:cs="Arial"/>
          <w:b/>
          <w:color w:val="000000"/>
          <w:sz w:val="22"/>
          <w:szCs w:val="22"/>
        </w:rPr>
        <w:t xml:space="preserve">(3) One disclosure per market, including all </w:t>
      </w:r>
      <w:proofErr w:type="spellStart"/>
      <w:r>
        <w:rPr>
          <w:rFonts w:cs="Arial"/>
          <w:b/>
          <w:color w:val="000000"/>
          <w:sz w:val="22"/>
          <w:szCs w:val="22"/>
        </w:rPr>
        <w:t>ToVs</w:t>
      </w:r>
      <w:proofErr w:type="spellEnd"/>
      <w:r>
        <w:rPr>
          <w:rFonts w:cs="Arial"/>
          <w:b/>
          <w:color w:val="000000"/>
          <w:sz w:val="22"/>
          <w:szCs w:val="22"/>
        </w:rPr>
        <w:t xml:space="preserve"> paid directly through entities belonging to AZ or indirectly through third parties acting on behalf of AZ</w:t>
      </w:r>
    </w:p>
    <w:p w14:paraId="02B63069" w14:textId="77777777" w:rsidR="00CB5D85" w:rsidRDefault="00CB2E66">
      <w:r>
        <w:rPr>
          <w:rFonts w:cs="Arial"/>
          <w:sz w:val="22"/>
          <w:szCs w:val="22"/>
        </w:rPr>
        <w:t>The entity included in reporting for the Netherlands is: AstraZeneca BV</w:t>
      </w:r>
    </w:p>
    <w:p w14:paraId="226BE338" w14:textId="77777777" w:rsidR="00CB5D85" w:rsidRDefault="00CB5D85">
      <w:pPr>
        <w:rPr>
          <w:rFonts w:cs="Arial"/>
          <w:sz w:val="22"/>
          <w:szCs w:val="22"/>
        </w:rPr>
      </w:pPr>
    </w:p>
    <w:p w14:paraId="1FF8A23B" w14:textId="77777777" w:rsidR="00CB5D85" w:rsidRDefault="00CB2E66">
      <w:r>
        <w:rPr>
          <w:rFonts w:cs="Arial"/>
          <w:sz w:val="22"/>
          <w:szCs w:val="22"/>
        </w:rPr>
        <w:t xml:space="preserve">For the Netherlands, disclosure is made in a central transparency register, set up in collaboration with the Ministry of Health, Welfare and Sport: ‘Transparantieregister Zorg’. </w:t>
      </w:r>
    </w:p>
    <w:p w14:paraId="20747579" w14:textId="77777777" w:rsidR="00CB5D85" w:rsidRDefault="00CB5D85">
      <w:pPr>
        <w:rPr>
          <w:rFonts w:cs="Arial"/>
          <w:color w:val="FF0000"/>
          <w:sz w:val="22"/>
          <w:szCs w:val="22"/>
        </w:rPr>
      </w:pPr>
    </w:p>
    <w:p w14:paraId="2ECB53BD" w14:textId="77777777" w:rsidR="00CB5D85" w:rsidRDefault="00CB2E66">
      <w:pPr>
        <w:rPr>
          <w:rFonts w:cs="Arial"/>
          <w:sz w:val="22"/>
          <w:szCs w:val="22"/>
        </w:rPr>
      </w:pPr>
      <w:r>
        <w:rPr>
          <w:rFonts w:cs="Arial"/>
          <w:sz w:val="22"/>
          <w:szCs w:val="22"/>
        </w:rPr>
        <w:t xml:space="preserve">Disclosure is compulsory if the Health Care Professional, partnership or institution in question receives more than EUR 500 from a pharmaceutical company in any calendar year. </w:t>
      </w:r>
    </w:p>
    <w:p w14:paraId="495836A7" w14:textId="77777777" w:rsidR="00CB5D85" w:rsidRDefault="00CB5D85">
      <w:pPr>
        <w:rPr>
          <w:rFonts w:cs="Arial"/>
          <w:color w:val="000000"/>
          <w:sz w:val="22"/>
          <w:szCs w:val="22"/>
        </w:rPr>
      </w:pPr>
    </w:p>
    <w:p w14:paraId="583578F6" w14:textId="77777777" w:rsidR="00CB5D85" w:rsidRDefault="00CB5D85">
      <w:pPr>
        <w:rPr>
          <w:rFonts w:cs="Arial"/>
          <w:color w:val="000000"/>
          <w:sz w:val="22"/>
          <w:szCs w:val="22"/>
        </w:rPr>
      </w:pPr>
    </w:p>
    <w:p w14:paraId="166E5C79" w14:textId="77777777" w:rsidR="00CB5D85" w:rsidRPr="00D227BD" w:rsidRDefault="00CB2E66" w:rsidP="00D227BD">
      <w:pPr>
        <w:keepNext/>
        <w:keepLines/>
        <w:numPr>
          <w:ilvl w:val="0"/>
          <w:numId w:val="5"/>
        </w:numPr>
        <w:tabs>
          <w:tab w:val="num" w:pos="284"/>
          <w:tab w:val="num" w:pos="720"/>
        </w:tabs>
        <w:suppressAutoHyphens w:val="0"/>
        <w:autoSpaceDN/>
        <w:spacing w:before="240"/>
        <w:ind w:left="284" w:hanging="284"/>
        <w:outlineLvl w:val="0"/>
        <w:rPr>
          <w:rFonts w:cs="Arial"/>
          <w:b/>
          <w:color w:val="000000"/>
          <w:sz w:val="22"/>
          <w:szCs w:val="22"/>
        </w:rPr>
      </w:pPr>
      <w:bookmarkStart w:id="4" w:name="_Toc446350365"/>
      <w:bookmarkStart w:id="5" w:name="_Toc196297188"/>
      <w:r>
        <w:rPr>
          <w:rFonts w:cs="Arial"/>
          <w:b/>
          <w:color w:val="000000"/>
          <w:sz w:val="22"/>
          <w:szCs w:val="22"/>
        </w:rPr>
        <w:t>Definitions</w:t>
      </w:r>
      <w:bookmarkEnd w:id="4"/>
      <w:bookmarkEnd w:id="5"/>
    </w:p>
    <w:p w14:paraId="22DE3F0A" w14:textId="77777777" w:rsidR="00CB5D85" w:rsidRDefault="00CB5D85">
      <w:pPr>
        <w:tabs>
          <w:tab w:val="left" w:pos="142"/>
          <w:tab w:val="left" w:pos="284"/>
        </w:tabs>
        <w:contextualSpacing/>
        <w:rPr>
          <w:rFonts w:cs="Arial"/>
          <w:b/>
          <w:color w:val="000000"/>
          <w:sz w:val="22"/>
          <w:szCs w:val="22"/>
        </w:rPr>
      </w:pPr>
    </w:p>
    <w:p w14:paraId="43251522" w14:textId="77777777" w:rsidR="00CB5D85" w:rsidRDefault="00CB2E66" w:rsidP="00D227BD">
      <w:pPr>
        <w:keepNext/>
        <w:keepLines/>
        <w:numPr>
          <w:ilvl w:val="1"/>
          <w:numId w:val="8"/>
        </w:numPr>
        <w:suppressAutoHyphens w:val="0"/>
        <w:autoSpaceDN/>
        <w:spacing w:before="40"/>
        <w:ind w:left="851" w:hanging="491"/>
        <w:outlineLvl w:val="1"/>
        <w:rPr>
          <w:rFonts w:cs="Arial"/>
          <w:b/>
          <w:sz w:val="22"/>
          <w:szCs w:val="22"/>
        </w:rPr>
      </w:pPr>
      <w:bookmarkStart w:id="6" w:name="_Toc446350366"/>
      <w:bookmarkStart w:id="7" w:name="_Toc196297189"/>
      <w:r>
        <w:rPr>
          <w:rFonts w:cs="Arial"/>
          <w:b/>
          <w:sz w:val="22"/>
          <w:szCs w:val="22"/>
        </w:rPr>
        <w:t>Recipients</w:t>
      </w:r>
      <w:bookmarkEnd w:id="6"/>
      <w:bookmarkEnd w:id="7"/>
      <w:r>
        <w:rPr>
          <w:rFonts w:cs="Arial"/>
          <w:b/>
          <w:sz w:val="22"/>
          <w:szCs w:val="22"/>
        </w:rPr>
        <w:t xml:space="preserve"> </w:t>
      </w:r>
    </w:p>
    <w:p w14:paraId="00A8A387" w14:textId="77777777" w:rsidR="00CB5D85" w:rsidRDefault="00CB5D85">
      <w:pPr>
        <w:ind w:left="709"/>
        <w:contextualSpacing/>
        <w:rPr>
          <w:rFonts w:cs="Arial"/>
          <w:b/>
          <w:color w:val="000000"/>
          <w:sz w:val="22"/>
          <w:szCs w:val="22"/>
        </w:rPr>
      </w:pPr>
    </w:p>
    <w:p w14:paraId="60963447" w14:textId="77777777" w:rsidR="00CB5D85" w:rsidRDefault="00CB2E66" w:rsidP="00D227BD">
      <w:pPr>
        <w:keepNext/>
        <w:keepLines/>
        <w:numPr>
          <w:ilvl w:val="2"/>
          <w:numId w:val="10"/>
        </w:numPr>
        <w:suppressAutoHyphens w:val="0"/>
        <w:autoSpaceDN/>
        <w:spacing w:before="40"/>
        <w:outlineLvl w:val="2"/>
        <w:rPr>
          <w:rFonts w:cs="Arial"/>
          <w:sz w:val="22"/>
          <w:szCs w:val="22"/>
          <w:u w:val="single"/>
        </w:rPr>
      </w:pPr>
      <w:bookmarkStart w:id="8" w:name="_Toc446350367"/>
      <w:bookmarkStart w:id="9" w:name="_Toc196297190"/>
      <w:r>
        <w:rPr>
          <w:rFonts w:cs="Arial"/>
          <w:sz w:val="22"/>
          <w:szCs w:val="22"/>
          <w:u w:val="single"/>
        </w:rPr>
        <w:t>Definition of an HCP</w:t>
      </w:r>
      <w:bookmarkEnd w:id="8"/>
      <w:bookmarkEnd w:id="9"/>
    </w:p>
    <w:p w14:paraId="7D607782" w14:textId="77777777" w:rsidR="00CB5D85" w:rsidRDefault="00CB5D85">
      <w:pPr>
        <w:ind w:left="567"/>
        <w:contextualSpacing/>
        <w:rPr>
          <w:rFonts w:cs="Arial"/>
          <w:b/>
          <w:color w:val="000000"/>
          <w:sz w:val="22"/>
          <w:szCs w:val="22"/>
        </w:rPr>
      </w:pPr>
    </w:p>
    <w:p w14:paraId="78D5BB39" w14:textId="77777777" w:rsidR="00CB5D85" w:rsidRDefault="00CB2E66">
      <w:r>
        <w:rPr>
          <w:rFonts w:cs="Arial"/>
          <w:color w:val="000000"/>
          <w:sz w:val="22"/>
          <w:szCs w:val="22"/>
        </w:rPr>
        <w:t>The definition of an HCP in the Netherlands</w:t>
      </w:r>
      <w:r>
        <w:rPr>
          <w:rFonts w:cs="Arial"/>
          <w:color w:val="FF0000"/>
          <w:sz w:val="22"/>
          <w:szCs w:val="22"/>
        </w:rPr>
        <w:t xml:space="preserve"> </w:t>
      </w:r>
      <w:r>
        <w:rPr>
          <w:rFonts w:cs="Arial"/>
          <w:color w:val="000000"/>
          <w:sz w:val="22"/>
          <w:szCs w:val="22"/>
        </w:rPr>
        <w:t>is:</w:t>
      </w:r>
    </w:p>
    <w:p w14:paraId="3A7C636E" w14:textId="77777777" w:rsidR="00CB5D85" w:rsidRDefault="00CB5D85">
      <w:pPr>
        <w:rPr>
          <w:rFonts w:cs="Arial"/>
          <w:color w:val="000000"/>
          <w:sz w:val="22"/>
          <w:szCs w:val="22"/>
        </w:rPr>
      </w:pPr>
    </w:p>
    <w:p w14:paraId="50FF5830" w14:textId="77777777" w:rsidR="00CB5D85" w:rsidRDefault="00CB2E66">
      <w:pPr>
        <w:rPr>
          <w:rFonts w:cs="Arial"/>
          <w:sz w:val="22"/>
          <w:szCs w:val="22"/>
        </w:rPr>
      </w:pPr>
      <w:r>
        <w:rPr>
          <w:rFonts w:cs="Arial"/>
          <w:sz w:val="22"/>
          <w:szCs w:val="22"/>
        </w:rPr>
        <w:t xml:space="preserve">Person qualified to prescribe or supply prescription-only medicinal products. </w:t>
      </w:r>
    </w:p>
    <w:p w14:paraId="6EE7127C" w14:textId="77777777" w:rsidR="00CB5D85" w:rsidRDefault="00CB5D85">
      <w:pPr>
        <w:rPr>
          <w:rFonts w:cs="Arial"/>
          <w:color w:val="000000"/>
          <w:sz w:val="22"/>
          <w:szCs w:val="22"/>
        </w:rPr>
      </w:pPr>
    </w:p>
    <w:p w14:paraId="31BD1236" w14:textId="77777777" w:rsidR="00CB5D85" w:rsidRDefault="00CB2E66" w:rsidP="00D227BD">
      <w:pPr>
        <w:keepNext/>
        <w:keepLines/>
        <w:numPr>
          <w:ilvl w:val="2"/>
          <w:numId w:val="9"/>
        </w:numPr>
        <w:suppressAutoHyphens w:val="0"/>
        <w:autoSpaceDN/>
        <w:spacing w:before="40"/>
        <w:outlineLvl w:val="2"/>
        <w:rPr>
          <w:rFonts w:cs="Arial"/>
          <w:sz w:val="22"/>
          <w:szCs w:val="22"/>
          <w:u w:val="single"/>
        </w:rPr>
      </w:pPr>
      <w:bookmarkStart w:id="10" w:name="_Toc446350368"/>
      <w:bookmarkStart w:id="11" w:name="_Toc196297191"/>
      <w:r>
        <w:rPr>
          <w:rFonts w:cs="Arial"/>
          <w:sz w:val="22"/>
          <w:szCs w:val="22"/>
          <w:u w:val="single"/>
        </w:rPr>
        <w:t>Definition of an HCO</w:t>
      </w:r>
      <w:bookmarkEnd w:id="10"/>
      <w:bookmarkEnd w:id="11"/>
    </w:p>
    <w:p w14:paraId="3D708280" w14:textId="77777777" w:rsidR="00CB5D85" w:rsidRDefault="00CB5D85">
      <w:pPr>
        <w:rPr>
          <w:rFonts w:cs="Arial"/>
          <w:b/>
          <w:color w:val="000000"/>
          <w:sz w:val="22"/>
          <w:szCs w:val="22"/>
        </w:rPr>
      </w:pPr>
    </w:p>
    <w:p w14:paraId="204B3D05" w14:textId="77777777" w:rsidR="00CB5D85" w:rsidRDefault="00CB2E66">
      <w:r>
        <w:rPr>
          <w:rFonts w:cs="Arial"/>
          <w:color w:val="000000"/>
          <w:sz w:val="22"/>
          <w:szCs w:val="22"/>
        </w:rPr>
        <w:t>The definition of an HCO in the Netherlands</w:t>
      </w:r>
      <w:r>
        <w:rPr>
          <w:rFonts w:cs="Arial"/>
          <w:color w:val="FF0000"/>
          <w:sz w:val="22"/>
          <w:szCs w:val="22"/>
        </w:rPr>
        <w:t xml:space="preserve"> </w:t>
      </w:r>
      <w:r>
        <w:rPr>
          <w:rFonts w:cs="Arial"/>
          <w:color w:val="000000"/>
          <w:sz w:val="22"/>
          <w:szCs w:val="22"/>
        </w:rPr>
        <w:t>is:</w:t>
      </w:r>
    </w:p>
    <w:p w14:paraId="0170BE77" w14:textId="77777777" w:rsidR="00CB5D85" w:rsidRDefault="00CB5D85">
      <w:pPr>
        <w:rPr>
          <w:rFonts w:cs="Arial"/>
          <w:color w:val="000000"/>
          <w:sz w:val="22"/>
          <w:szCs w:val="22"/>
        </w:rPr>
      </w:pPr>
    </w:p>
    <w:p w14:paraId="5D477FF2" w14:textId="77777777" w:rsidR="00CB5D85" w:rsidRDefault="00CB2E66">
      <w:r>
        <w:rPr>
          <w:rFonts w:cs="Arial"/>
          <w:color w:val="000000"/>
          <w:sz w:val="22"/>
          <w:szCs w:val="22"/>
        </w:rPr>
        <w:t>Partnerships of healthcare professionals and institutions which employ healthcare professionals.</w:t>
      </w:r>
      <w:r>
        <w:rPr>
          <w:rFonts w:cs="Arial"/>
          <w:color w:val="FF0000"/>
          <w:sz w:val="22"/>
          <w:szCs w:val="22"/>
        </w:rPr>
        <w:t xml:space="preserve">  </w:t>
      </w:r>
    </w:p>
    <w:p w14:paraId="1B0440E8" w14:textId="77777777" w:rsidR="00CB5D85" w:rsidRDefault="00CB5D85">
      <w:pPr>
        <w:rPr>
          <w:rFonts w:cs="Arial"/>
          <w:color w:val="000000"/>
          <w:sz w:val="22"/>
          <w:szCs w:val="22"/>
        </w:rPr>
      </w:pPr>
    </w:p>
    <w:p w14:paraId="0D3AC8FE" w14:textId="77777777" w:rsidR="00CB5D85" w:rsidRDefault="00CB5D85">
      <w:pPr>
        <w:rPr>
          <w:rFonts w:cs="Arial"/>
          <w:color w:val="000000"/>
          <w:sz w:val="22"/>
          <w:szCs w:val="22"/>
        </w:rPr>
      </w:pPr>
    </w:p>
    <w:p w14:paraId="233D8168" w14:textId="77777777" w:rsidR="00CB5D85" w:rsidRDefault="00CB2E66" w:rsidP="00D227BD">
      <w:pPr>
        <w:keepNext/>
        <w:keepLines/>
        <w:numPr>
          <w:ilvl w:val="1"/>
          <w:numId w:val="7"/>
        </w:numPr>
        <w:suppressAutoHyphens w:val="0"/>
        <w:autoSpaceDN/>
        <w:spacing w:before="40"/>
        <w:ind w:left="851" w:hanging="491"/>
        <w:outlineLvl w:val="1"/>
        <w:rPr>
          <w:rFonts w:cs="Arial"/>
          <w:b/>
          <w:sz w:val="22"/>
          <w:szCs w:val="22"/>
        </w:rPr>
      </w:pPr>
      <w:bookmarkStart w:id="12" w:name="_Toc446350369"/>
      <w:bookmarkStart w:id="13" w:name="_Toc196297192"/>
      <w:r>
        <w:rPr>
          <w:rFonts w:cs="Arial"/>
          <w:b/>
          <w:sz w:val="22"/>
          <w:szCs w:val="22"/>
        </w:rPr>
        <w:t xml:space="preserve">Kind of </w:t>
      </w:r>
      <w:proofErr w:type="spellStart"/>
      <w:r>
        <w:rPr>
          <w:rFonts w:cs="Arial"/>
          <w:b/>
          <w:sz w:val="22"/>
          <w:szCs w:val="22"/>
        </w:rPr>
        <w:t>ToVs</w:t>
      </w:r>
      <w:bookmarkEnd w:id="12"/>
      <w:bookmarkEnd w:id="13"/>
      <w:proofErr w:type="spellEnd"/>
      <w:r>
        <w:rPr>
          <w:rFonts w:cs="Arial"/>
          <w:b/>
          <w:sz w:val="22"/>
          <w:szCs w:val="22"/>
        </w:rPr>
        <w:t xml:space="preserve"> </w:t>
      </w:r>
    </w:p>
    <w:p w14:paraId="099A310D" w14:textId="77777777" w:rsidR="00CB5D85" w:rsidRDefault="00CB5D85">
      <w:pPr>
        <w:rPr>
          <w:rFonts w:cs="Arial"/>
          <w:color w:val="000000"/>
          <w:sz w:val="22"/>
          <w:szCs w:val="22"/>
        </w:rPr>
      </w:pPr>
    </w:p>
    <w:p w14:paraId="7B587106" w14:textId="77777777" w:rsidR="00CB5D85" w:rsidRDefault="00CB2E66" w:rsidP="00D227BD">
      <w:pPr>
        <w:keepNext/>
        <w:keepLines/>
        <w:numPr>
          <w:ilvl w:val="2"/>
          <w:numId w:val="7"/>
        </w:numPr>
        <w:suppressAutoHyphens w:val="0"/>
        <w:autoSpaceDN/>
        <w:spacing w:before="40"/>
        <w:outlineLvl w:val="2"/>
        <w:rPr>
          <w:rFonts w:cs="Arial"/>
          <w:sz w:val="22"/>
          <w:szCs w:val="22"/>
          <w:u w:val="single"/>
        </w:rPr>
      </w:pPr>
      <w:bookmarkStart w:id="14" w:name="_Toc446350370"/>
      <w:bookmarkStart w:id="15" w:name="_Toc196297193"/>
      <w:r>
        <w:rPr>
          <w:rFonts w:cs="Arial"/>
          <w:sz w:val="22"/>
          <w:szCs w:val="22"/>
          <w:u w:val="single"/>
        </w:rPr>
        <w:t>Donations and Grants</w:t>
      </w:r>
      <w:bookmarkEnd w:id="14"/>
      <w:bookmarkEnd w:id="15"/>
    </w:p>
    <w:p w14:paraId="0AF4E0F4" w14:textId="77777777" w:rsidR="00CB5D85" w:rsidRDefault="00CB5D85">
      <w:pPr>
        <w:rPr>
          <w:rFonts w:cs="Arial"/>
          <w:color w:val="000000"/>
          <w:sz w:val="22"/>
          <w:szCs w:val="22"/>
        </w:rPr>
      </w:pPr>
    </w:p>
    <w:p w14:paraId="6F66A829" w14:textId="77777777" w:rsidR="00CB5D85" w:rsidRDefault="00CB2E66">
      <w:pPr>
        <w:rPr>
          <w:rFonts w:cs="Arial"/>
          <w:color w:val="000000"/>
          <w:sz w:val="22"/>
          <w:szCs w:val="22"/>
        </w:rPr>
      </w:pPr>
      <w:r>
        <w:rPr>
          <w:rFonts w:cs="Arial"/>
          <w:color w:val="000000"/>
          <w:sz w:val="22"/>
          <w:szCs w:val="22"/>
        </w:rPr>
        <w:t xml:space="preserve">AZ provides support to medical or scientific education, advances in medical or scientific research, health or healthcare systems or disaster relief through financial or non-financial </w:t>
      </w:r>
      <w:proofErr w:type="spellStart"/>
      <w:r>
        <w:rPr>
          <w:rFonts w:cs="Arial"/>
          <w:color w:val="000000"/>
          <w:sz w:val="22"/>
          <w:szCs w:val="22"/>
        </w:rPr>
        <w:t>ToVs</w:t>
      </w:r>
      <w:proofErr w:type="spellEnd"/>
      <w:r>
        <w:rPr>
          <w:rFonts w:cs="Arial"/>
          <w:color w:val="000000"/>
          <w:sz w:val="22"/>
          <w:szCs w:val="22"/>
        </w:rPr>
        <w:t xml:space="preserve"> to legitimate, established organizations. </w:t>
      </w:r>
    </w:p>
    <w:p w14:paraId="504E1D96" w14:textId="77777777" w:rsidR="00CB5D85" w:rsidRDefault="00CB2E66">
      <w:pPr>
        <w:rPr>
          <w:rFonts w:cs="Arial"/>
          <w:color w:val="000000"/>
          <w:sz w:val="22"/>
          <w:szCs w:val="22"/>
        </w:rPr>
      </w:pPr>
      <w:r>
        <w:rPr>
          <w:rFonts w:cs="Arial"/>
          <w:color w:val="000000"/>
          <w:sz w:val="22"/>
          <w:szCs w:val="22"/>
        </w:rPr>
        <w:t xml:space="preserve"> </w:t>
      </w:r>
    </w:p>
    <w:p w14:paraId="5FD1E486" w14:textId="77777777" w:rsidR="00CB5D85" w:rsidRDefault="00CB2E66">
      <w:pPr>
        <w:rPr>
          <w:rFonts w:cs="Arial"/>
          <w:color w:val="000000"/>
          <w:sz w:val="22"/>
          <w:szCs w:val="22"/>
        </w:rPr>
      </w:pPr>
      <w:r>
        <w:rPr>
          <w:rFonts w:cs="Arial"/>
          <w:color w:val="000000"/>
          <w:sz w:val="22"/>
          <w:szCs w:val="22"/>
        </w:rPr>
        <w:t>AZ can provide this support through:</w:t>
      </w:r>
    </w:p>
    <w:p w14:paraId="1238CB23"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Contributions or Sponsorships (or referred to as Grants) to support initiatives in HCP Education, including education about healthcare systems and practices, Medical or Scientific Research, or Partnerships. </w:t>
      </w:r>
    </w:p>
    <w:p w14:paraId="27D5CB1E"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Donations to a non-profit or public sector healthcare organization (HCO) intended to support their charitable mission and activities. Donations and Grants to Patient </w:t>
      </w:r>
      <w:r>
        <w:rPr>
          <w:rFonts w:cs="Arial"/>
          <w:color w:val="000000"/>
          <w:sz w:val="22"/>
          <w:szCs w:val="22"/>
        </w:rPr>
        <w:lastRenderedPageBreak/>
        <w:t xml:space="preserve">Organizations are included, donations and Grants as part of Community Investments to charities and other non-profit non-HCOs are subject to separate disclosure and thus excluded.  </w:t>
      </w:r>
    </w:p>
    <w:p w14:paraId="4FDE09BA" w14:textId="77777777" w:rsidR="00CB5D85" w:rsidRDefault="00CB5D85">
      <w:pPr>
        <w:rPr>
          <w:rFonts w:cs="Arial"/>
          <w:color w:val="000000"/>
          <w:sz w:val="22"/>
          <w:szCs w:val="22"/>
        </w:rPr>
      </w:pPr>
    </w:p>
    <w:p w14:paraId="1427F785" w14:textId="77777777" w:rsidR="00CB5D85" w:rsidRDefault="00CB2E66">
      <w:pPr>
        <w:rPr>
          <w:rFonts w:cs="Arial"/>
          <w:color w:val="000000"/>
          <w:sz w:val="22"/>
          <w:szCs w:val="22"/>
        </w:rPr>
      </w:pPr>
      <w:r>
        <w:rPr>
          <w:rFonts w:cs="Arial"/>
          <w:color w:val="000000"/>
          <w:sz w:val="22"/>
          <w:szCs w:val="22"/>
        </w:rPr>
        <w:t>Donations to HCOs can be both monetary and donations in kind. Product Donations are given in circumstances of national emergency, international or national disaster relief or other genuine public health need. AZ charitable product donations and processes are aligned to the World Health Organization (WHO) Guidelines for Drug Donations.</w:t>
      </w:r>
    </w:p>
    <w:p w14:paraId="5C4F5FB7" w14:textId="77777777" w:rsidR="00CB5D85" w:rsidRPr="00D227BD" w:rsidRDefault="00CB5D85" w:rsidP="00D227BD">
      <w:pPr>
        <w:keepNext/>
        <w:keepLines/>
        <w:suppressAutoHyphens w:val="0"/>
        <w:autoSpaceDN/>
        <w:spacing w:before="40"/>
        <w:ind w:left="1440" w:hanging="720"/>
        <w:outlineLvl w:val="2"/>
        <w:rPr>
          <w:rFonts w:cs="Arial"/>
          <w:sz w:val="22"/>
          <w:szCs w:val="22"/>
          <w:u w:val="single"/>
        </w:rPr>
      </w:pPr>
    </w:p>
    <w:p w14:paraId="6C17C45F" w14:textId="77777777" w:rsidR="00CB5D85" w:rsidRPr="00A96FF9" w:rsidRDefault="00CB2E66" w:rsidP="00D227BD">
      <w:pPr>
        <w:keepNext/>
        <w:keepLines/>
        <w:numPr>
          <w:ilvl w:val="2"/>
          <w:numId w:val="7"/>
        </w:numPr>
        <w:suppressAutoHyphens w:val="0"/>
        <w:autoSpaceDN/>
        <w:spacing w:before="40"/>
        <w:outlineLvl w:val="2"/>
        <w:rPr>
          <w:rFonts w:cs="Arial"/>
          <w:sz w:val="22"/>
          <w:szCs w:val="22"/>
          <w:u w:val="single"/>
        </w:rPr>
      </w:pPr>
      <w:bookmarkStart w:id="16" w:name="_Toc446350371"/>
      <w:bookmarkStart w:id="17" w:name="_Toc196297194"/>
      <w:r w:rsidRPr="00A96FF9">
        <w:rPr>
          <w:rFonts w:cs="Arial"/>
          <w:sz w:val="22"/>
          <w:szCs w:val="22"/>
          <w:u w:val="single"/>
        </w:rPr>
        <w:t>Sponsorship agreements</w:t>
      </w:r>
      <w:bookmarkEnd w:id="16"/>
      <w:bookmarkEnd w:id="17"/>
    </w:p>
    <w:p w14:paraId="66D568FF" w14:textId="77777777" w:rsidR="00CB5D85" w:rsidRDefault="00CB5D85">
      <w:pPr>
        <w:rPr>
          <w:rFonts w:cs="Arial"/>
          <w:color w:val="000000"/>
          <w:sz w:val="22"/>
          <w:szCs w:val="22"/>
        </w:rPr>
      </w:pPr>
    </w:p>
    <w:p w14:paraId="2429DB7A" w14:textId="77777777" w:rsidR="00CB5D85" w:rsidRDefault="00CB2E66">
      <w:pPr>
        <w:rPr>
          <w:rFonts w:cs="Arial"/>
          <w:color w:val="000000"/>
          <w:sz w:val="22"/>
          <w:szCs w:val="22"/>
        </w:rPr>
      </w:pPr>
      <w:r>
        <w:rPr>
          <w:rFonts w:cs="Arial"/>
          <w:color w:val="000000"/>
          <w:sz w:val="22"/>
          <w:szCs w:val="22"/>
        </w:rPr>
        <w:t xml:space="preserve">AZ gives contributions, through financial or non-financial support to legitimate, established organizations for medical or scientific education of external stakeholders, organizing or hosting educational or scientific events (including independent congresses). These contributions aim to increase the scientific or educational quality of the event and/or support with logistics in modest venues or with incidental hospitality, in line with AZ's own ethical principles.  The mandatory Sponsorship Agreements will describe the purpose of the sponsorship and for what the funds are to be used.   </w:t>
      </w:r>
    </w:p>
    <w:p w14:paraId="74D58CD1" w14:textId="77777777" w:rsidR="00CB5D85" w:rsidRDefault="00CB5D85">
      <w:pPr>
        <w:rPr>
          <w:rFonts w:cs="Arial"/>
          <w:color w:val="000000"/>
          <w:sz w:val="22"/>
          <w:szCs w:val="22"/>
        </w:rPr>
      </w:pPr>
    </w:p>
    <w:p w14:paraId="3F88224A" w14:textId="77777777" w:rsidR="00CB5D85" w:rsidRDefault="00CB2E66">
      <w:pPr>
        <w:rPr>
          <w:rFonts w:cs="Arial"/>
          <w:color w:val="000000"/>
          <w:sz w:val="22"/>
          <w:szCs w:val="22"/>
        </w:rPr>
      </w:pPr>
      <w:r>
        <w:rPr>
          <w:rFonts w:cs="Arial"/>
          <w:color w:val="000000"/>
          <w:sz w:val="22"/>
          <w:szCs w:val="22"/>
        </w:rPr>
        <w:t xml:space="preserve">Sponsorship packages may also include satellite symposia and the sponsoring of speakers or faculty. </w:t>
      </w:r>
    </w:p>
    <w:p w14:paraId="64984E2B" w14:textId="77777777" w:rsidR="00CB5D85" w:rsidRDefault="00CB5D85">
      <w:pPr>
        <w:rPr>
          <w:rFonts w:cs="Arial"/>
          <w:color w:val="000000"/>
          <w:sz w:val="22"/>
          <w:szCs w:val="22"/>
        </w:rPr>
      </w:pPr>
    </w:p>
    <w:p w14:paraId="41FBA6EE" w14:textId="77777777" w:rsidR="00CB5D85" w:rsidRDefault="00CB2E66">
      <w:pPr>
        <w:rPr>
          <w:rFonts w:cs="Arial"/>
          <w:color w:val="000000"/>
          <w:sz w:val="22"/>
          <w:szCs w:val="22"/>
        </w:rPr>
      </w:pPr>
      <w:proofErr w:type="spellStart"/>
      <w:r>
        <w:rPr>
          <w:rFonts w:cs="Arial"/>
          <w:color w:val="000000"/>
          <w:sz w:val="22"/>
          <w:szCs w:val="22"/>
        </w:rPr>
        <w:t>ToVs</w:t>
      </w:r>
      <w:proofErr w:type="spellEnd"/>
      <w:r>
        <w:rPr>
          <w:rFonts w:cs="Arial"/>
          <w:color w:val="000000"/>
          <w:sz w:val="22"/>
          <w:szCs w:val="22"/>
        </w:rPr>
        <w:t xml:space="preserve"> are made to either the HCO directly or to an event organizer or other third party appointed by the HCO to manage the event. In all cases, </w:t>
      </w:r>
      <w:proofErr w:type="spellStart"/>
      <w:r>
        <w:rPr>
          <w:rFonts w:cs="Arial"/>
          <w:color w:val="000000"/>
          <w:sz w:val="22"/>
          <w:szCs w:val="22"/>
        </w:rPr>
        <w:t>ToVs</w:t>
      </w:r>
      <w:proofErr w:type="spellEnd"/>
      <w:r>
        <w:rPr>
          <w:rFonts w:cs="Arial"/>
          <w:color w:val="000000"/>
          <w:sz w:val="22"/>
          <w:szCs w:val="22"/>
        </w:rPr>
        <w:t xml:space="preserve"> are disclosed against the HCO that ultimately benefits.</w:t>
      </w:r>
    </w:p>
    <w:p w14:paraId="6E3FD419" w14:textId="77777777" w:rsidR="00CB5D85" w:rsidRDefault="00CB2E66">
      <w:pPr>
        <w:rPr>
          <w:rFonts w:cs="Arial"/>
          <w:color w:val="000000"/>
          <w:sz w:val="22"/>
          <w:szCs w:val="22"/>
        </w:rPr>
      </w:pPr>
      <w:r>
        <w:rPr>
          <w:rFonts w:cs="Arial"/>
          <w:color w:val="000000"/>
          <w:sz w:val="22"/>
          <w:szCs w:val="22"/>
        </w:rPr>
        <w:t>Where contributions made to HCOs include support for travel &amp; accommodation for HCPs to attend Independent Congresses and the HCPs benefitting from this support are unknown, this payment will be assigned to the EFPIA category "Sponsorship Meetings".</w:t>
      </w:r>
    </w:p>
    <w:p w14:paraId="21B8A28B" w14:textId="77777777" w:rsidR="00CB5D85" w:rsidRDefault="00CB5D85">
      <w:pPr>
        <w:rPr>
          <w:rFonts w:cs="Arial"/>
          <w:color w:val="000000"/>
          <w:sz w:val="22"/>
          <w:szCs w:val="22"/>
        </w:rPr>
      </w:pPr>
    </w:p>
    <w:p w14:paraId="434071DB" w14:textId="77777777" w:rsidR="00CB5D85" w:rsidRDefault="00CB2E66" w:rsidP="00D227BD">
      <w:pPr>
        <w:keepNext/>
        <w:keepLines/>
        <w:numPr>
          <w:ilvl w:val="2"/>
          <w:numId w:val="7"/>
        </w:numPr>
        <w:suppressAutoHyphens w:val="0"/>
        <w:autoSpaceDN/>
        <w:spacing w:before="40"/>
        <w:outlineLvl w:val="2"/>
        <w:rPr>
          <w:rFonts w:cs="Arial"/>
          <w:sz w:val="22"/>
          <w:szCs w:val="22"/>
          <w:u w:val="single"/>
        </w:rPr>
      </w:pPr>
      <w:bookmarkStart w:id="18" w:name="_Toc446350372"/>
      <w:bookmarkStart w:id="19" w:name="_Toc196297195"/>
      <w:r>
        <w:rPr>
          <w:rFonts w:cs="Arial"/>
          <w:sz w:val="22"/>
          <w:szCs w:val="22"/>
          <w:u w:val="single"/>
        </w:rPr>
        <w:t>Registration fees</w:t>
      </w:r>
      <w:bookmarkEnd w:id="18"/>
      <w:bookmarkEnd w:id="19"/>
      <w:r>
        <w:rPr>
          <w:rFonts w:cs="Arial"/>
          <w:sz w:val="22"/>
          <w:szCs w:val="22"/>
          <w:u w:val="single"/>
        </w:rPr>
        <w:t xml:space="preserve"> </w:t>
      </w:r>
    </w:p>
    <w:p w14:paraId="1A5CC3B7" w14:textId="77777777" w:rsidR="00CB5D85" w:rsidRDefault="00CB5D85">
      <w:pPr>
        <w:rPr>
          <w:rFonts w:cs="Arial"/>
          <w:color w:val="000000"/>
          <w:sz w:val="22"/>
          <w:szCs w:val="22"/>
        </w:rPr>
      </w:pPr>
    </w:p>
    <w:p w14:paraId="73CCFF32" w14:textId="77777777" w:rsidR="00CB5D85" w:rsidRDefault="00CB2E66">
      <w:pPr>
        <w:rPr>
          <w:rFonts w:cs="Arial"/>
          <w:color w:val="000000"/>
          <w:sz w:val="22"/>
          <w:szCs w:val="22"/>
        </w:rPr>
      </w:pPr>
      <w:r>
        <w:rPr>
          <w:rFonts w:cs="Arial"/>
          <w:color w:val="000000"/>
          <w:sz w:val="22"/>
          <w:szCs w:val="22"/>
        </w:rPr>
        <w:t xml:space="preserve">As part of support to continuous medical education, AZ provides support to HCOs or HCPs to cover the costs of registration fees for HCPs to attend selected independent congresses and </w:t>
      </w:r>
      <w:proofErr w:type="gramStart"/>
      <w:r>
        <w:rPr>
          <w:rFonts w:cs="Arial"/>
          <w:color w:val="000000"/>
          <w:sz w:val="22"/>
          <w:szCs w:val="22"/>
        </w:rPr>
        <w:t>where</w:t>
      </w:r>
      <w:proofErr w:type="gramEnd"/>
      <w:r>
        <w:rPr>
          <w:rFonts w:cs="Arial"/>
          <w:color w:val="000000"/>
          <w:sz w:val="22"/>
          <w:szCs w:val="22"/>
        </w:rPr>
        <w:t xml:space="preserve"> provided to HCOs, also for other educational/scientific events.    </w:t>
      </w:r>
    </w:p>
    <w:p w14:paraId="1A671874" w14:textId="77777777" w:rsidR="00CB5D85" w:rsidRDefault="00CB5D85">
      <w:pPr>
        <w:rPr>
          <w:rFonts w:cs="Arial"/>
          <w:color w:val="000000"/>
          <w:sz w:val="22"/>
          <w:szCs w:val="22"/>
        </w:rPr>
      </w:pPr>
    </w:p>
    <w:p w14:paraId="0021D437" w14:textId="77777777" w:rsidR="00CB5D85" w:rsidRDefault="00CB2E66">
      <w:pPr>
        <w:rPr>
          <w:rFonts w:cs="Arial"/>
          <w:color w:val="000000"/>
          <w:sz w:val="22"/>
          <w:szCs w:val="22"/>
        </w:rPr>
      </w:pPr>
      <w:r>
        <w:rPr>
          <w:rFonts w:cs="Arial"/>
          <w:color w:val="000000"/>
          <w:sz w:val="22"/>
          <w:szCs w:val="22"/>
        </w:rPr>
        <w:t xml:space="preserve">Where these are provided to HCOs, AZ is not involved in the selection of the HCPs. </w:t>
      </w:r>
    </w:p>
    <w:p w14:paraId="2CD6ECB1" w14:textId="77777777" w:rsidR="00CB5D85" w:rsidRDefault="00CB5D85">
      <w:pPr>
        <w:rPr>
          <w:rFonts w:cs="Arial"/>
          <w:color w:val="000000"/>
          <w:sz w:val="22"/>
          <w:szCs w:val="22"/>
        </w:rPr>
      </w:pPr>
    </w:p>
    <w:p w14:paraId="4C430A4F" w14:textId="77777777" w:rsidR="00CB5D85" w:rsidRDefault="00CB2E66">
      <w:pPr>
        <w:rPr>
          <w:rFonts w:cs="Arial"/>
          <w:color w:val="000000"/>
          <w:sz w:val="22"/>
          <w:szCs w:val="22"/>
        </w:rPr>
      </w:pPr>
      <w:r>
        <w:rPr>
          <w:rFonts w:cs="Arial"/>
          <w:color w:val="000000"/>
          <w:sz w:val="22"/>
          <w:szCs w:val="22"/>
        </w:rPr>
        <w:t>Where these are provided to individual HCPs, the purpose of the support is to enable delegates:</w:t>
      </w:r>
    </w:p>
    <w:p w14:paraId="42EF4FEA" w14:textId="77777777" w:rsidR="00CB5D85" w:rsidRDefault="00CB2E66">
      <w:pPr>
        <w:numPr>
          <w:ilvl w:val="0"/>
          <w:numId w:val="12"/>
        </w:numPr>
        <w:contextualSpacing/>
        <w:rPr>
          <w:rFonts w:cs="Arial"/>
          <w:color w:val="000000"/>
          <w:sz w:val="22"/>
          <w:szCs w:val="22"/>
        </w:rPr>
      </w:pPr>
      <w:r>
        <w:rPr>
          <w:rFonts w:cs="Arial"/>
          <w:color w:val="000000"/>
          <w:sz w:val="22"/>
          <w:szCs w:val="22"/>
        </w:rPr>
        <w:t xml:space="preserve">to attend presentations or participate in scientific exchange on significant developments related to AZ products or uses or related to AZ's scientific research; or, </w:t>
      </w:r>
    </w:p>
    <w:p w14:paraId="71D9AE54" w14:textId="77777777" w:rsidR="00CB5D85" w:rsidRDefault="00CB2E66">
      <w:pPr>
        <w:numPr>
          <w:ilvl w:val="0"/>
          <w:numId w:val="12"/>
        </w:numPr>
        <w:contextualSpacing/>
        <w:rPr>
          <w:rFonts w:cs="Arial"/>
          <w:color w:val="000000"/>
          <w:sz w:val="22"/>
          <w:szCs w:val="22"/>
        </w:rPr>
      </w:pPr>
      <w:r>
        <w:rPr>
          <w:rFonts w:cs="Arial"/>
          <w:color w:val="000000"/>
          <w:sz w:val="22"/>
          <w:szCs w:val="22"/>
        </w:rPr>
        <w:t xml:space="preserve">to support the performance of a contract.  </w:t>
      </w:r>
    </w:p>
    <w:p w14:paraId="4701C30D" w14:textId="77777777" w:rsidR="00CB5D85" w:rsidRDefault="00CB5D85">
      <w:pPr>
        <w:rPr>
          <w:rFonts w:cs="Arial"/>
          <w:color w:val="000000"/>
          <w:sz w:val="22"/>
          <w:szCs w:val="22"/>
        </w:rPr>
      </w:pPr>
    </w:p>
    <w:p w14:paraId="29A4B15A" w14:textId="77777777" w:rsidR="00CB5D85" w:rsidRDefault="00CB2E66">
      <w:r>
        <w:rPr>
          <w:rFonts w:cs="Arial"/>
          <w:color w:val="000000"/>
          <w:sz w:val="22"/>
          <w:szCs w:val="22"/>
        </w:rPr>
        <w:t xml:space="preserve">All arrangements are generally paid directly to travel and or /accommodation providers or organizer. </w:t>
      </w:r>
    </w:p>
    <w:p w14:paraId="2E348531" w14:textId="77777777" w:rsidR="00CB5D85" w:rsidRDefault="00CB5D85">
      <w:pPr>
        <w:rPr>
          <w:rFonts w:cs="Arial"/>
          <w:color w:val="000000"/>
          <w:sz w:val="22"/>
          <w:szCs w:val="22"/>
        </w:rPr>
      </w:pPr>
    </w:p>
    <w:p w14:paraId="2FE664D2" w14:textId="77777777" w:rsidR="00CB5D85" w:rsidRDefault="00CB2E66" w:rsidP="00D227BD">
      <w:pPr>
        <w:keepNext/>
        <w:keepLines/>
        <w:numPr>
          <w:ilvl w:val="2"/>
          <w:numId w:val="7"/>
        </w:numPr>
        <w:suppressAutoHyphens w:val="0"/>
        <w:autoSpaceDN/>
        <w:spacing w:before="40"/>
        <w:outlineLvl w:val="2"/>
        <w:rPr>
          <w:rFonts w:cs="Arial"/>
          <w:sz w:val="22"/>
          <w:szCs w:val="22"/>
          <w:u w:val="single"/>
        </w:rPr>
      </w:pPr>
      <w:bookmarkStart w:id="20" w:name="_Toc446350373"/>
      <w:bookmarkStart w:id="21" w:name="_Toc196297196"/>
      <w:r>
        <w:rPr>
          <w:rFonts w:cs="Arial"/>
          <w:sz w:val="22"/>
          <w:szCs w:val="22"/>
          <w:u w:val="single"/>
        </w:rPr>
        <w:t>Travel and Accommodation</w:t>
      </w:r>
      <w:bookmarkEnd w:id="20"/>
      <w:bookmarkEnd w:id="21"/>
    </w:p>
    <w:p w14:paraId="34B692B9" w14:textId="77777777" w:rsidR="00CB5D85" w:rsidRDefault="00CB5D85">
      <w:pPr>
        <w:rPr>
          <w:rFonts w:cs="Arial"/>
          <w:color w:val="000000"/>
          <w:sz w:val="22"/>
          <w:szCs w:val="22"/>
        </w:rPr>
      </w:pPr>
    </w:p>
    <w:p w14:paraId="5B279327" w14:textId="77777777" w:rsidR="00CB5D85" w:rsidRDefault="00CB2E66">
      <w:pPr>
        <w:rPr>
          <w:rFonts w:cs="Arial"/>
          <w:color w:val="000000"/>
          <w:sz w:val="22"/>
          <w:szCs w:val="22"/>
        </w:rPr>
      </w:pPr>
      <w:r>
        <w:rPr>
          <w:rFonts w:cs="Arial"/>
          <w:color w:val="000000"/>
          <w:sz w:val="22"/>
          <w:szCs w:val="22"/>
        </w:rPr>
        <w:lastRenderedPageBreak/>
        <w:t xml:space="preserve">As part of support to continuous medical education, AZ provides support to HCOs or HCPs to cover the costs for Travel and Accommodation for HCPs to attend selected independent congresses and/or AZ Organized Meetings and </w:t>
      </w:r>
      <w:proofErr w:type="gramStart"/>
      <w:r>
        <w:rPr>
          <w:rFonts w:cs="Arial"/>
          <w:color w:val="000000"/>
          <w:sz w:val="22"/>
          <w:szCs w:val="22"/>
        </w:rPr>
        <w:t>where</w:t>
      </w:r>
      <w:proofErr w:type="gramEnd"/>
      <w:r>
        <w:rPr>
          <w:rFonts w:cs="Arial"/>
          <w:color w:val="000000"/>
          <w:sz w:val="22"/>
          <w:szCs w:val="22"/>
        </w:rPr>
        <w:t xml:space="preserve"> provided to HCOs for other educational/scientific events.  </w:t>
      </w:r>
    </w:p>
    <w:p w14:paraId="1845381B" w14:textId="77777777" w:rsidR="00CB5D85" w:rsidRDefault="00CB5D85">
      <w:pPr>
        <w:rPr>
          <w:rFonts w:cs="Arial"/>
          <w:color w:val="000000"/>
          <w:sz w:val="22"/>
          <w:szCs w:val="22"/>
        </w:rPr>
      </w:pPr>
    </w:p>
    <w:p w14:paraId="32861DBB" w14:textId="77777777" w:rsidR="00CB5D85" w:rsidRDefault="00CB2E66">
      <w:pPr>
        <w:rPr>
          <w:rFonts w:cs="Arial"/>
          <w:color w:val="000000"/>
          <w:sz w:val="22"/>
          <w:szCs w:val="22"/>
        </w:rPr>
      </w:pPr>
      <w:r>
        <w:rPr>
          <w:rFonts w:cs="Arial"/>
          <w:color w:val="000000"/>
          <w:sz w:val="22"/>
          <w:szCs w:val="22"/>
        </w:rPr>
        <w:t>These costs can include costs of flights, trains, hotel accommodation, taxis, bus transfers, and other travel costs.</w:t>
      </w:r>
    </w:p>
    <w:p w14:paraId="5E2F5211" w14:textId="77777777" w:rsidR="00CB5D85" w:rsidRDefault="00CB5D85">
      <w:pPr>
        <w:rPr>
          <w:rFonts w:cs="Arial"/>
          <w:color w:val="000000"/>
          <w:sz w:val="22"/>
          <w:szCs w:val="22"/>
        </w:rPr>
      </w:pPr>
    </w:p>
    <w:p w14:paraId="586C4CC9" w14:textId="77777777" w:rsidR="00CB5D85" w:rsidRDefault="00CB2E66">
      <w:pPr>
        <w:rPr>
          <w:rFonts w:cs="Arial"/>
          <w:color w:val="000000"/>
          <w:sz w:val="22"/>
          <w:szCs w:val="22"/>
        </w:rPr>
      </w:pPr>
      <w:r>
        <w:rPr>
          <w:rFonts w:cs="Arial"/>
          <w:color w:val="000000"/>
          <w:sz w:val="22"/>
          <w:szCs w:val="22"/>
        </w:rPr>
        <w:t xml:space="preserve">Costs for ground transportation (e.g. bus or taxi) that are organized for group transportation and not assigned to certain HCPs are reported in aggregate, but where the identity of the HCPs is known, these are split by HCP. </w:t>
      </w:r>
    </w:p>
    <w:p w14:paraId="4DCAA977" w14:textId="77777777" w:rsidR="00CB5D85" w:rsidRDefault="00CB5D85">
      <w:pPr>
        <w:rPr>
          <w:rFonts w:cs="Arial"/>
          <w:color w:val="000000"/>
          <w:sz w:val="22"/>
          <w:szCs w:val="22"/>
        </w:rPr>
      </w:pPr>
    </w:p>
    <w:p w14:paraId="72D40A07" w14:textId="77777777" w:rsidR="00CB5D85" w:rsidRPr="00D227BD" w:rsidRDefault="00CB2E66" w:rsidP="00D227BD">
      <w:pPr>
        <w:keepNext/>
        <w:keepLines/>
        <w:numPr>
          <w:ilvl w:val="2"/>
          <w:numId w:val="7"/>
        </w:numPr>
        <w:suppressAutoHyphens w:val="0"/>
        <w:autoSpaceDN/>
        <w:spacing w:before="40"/>
        <w:outlineLvl w:val="2"/>
        <w:rPr>
          <w:rFonts w:cs="Arial"/>
          <w:sz w:val="22"/>
          <w:szCs w:val="22"/>
          <w:u w:val="single"/>
        </w:rPr>
      </w:pPr>
      <w:bookmarkStart w:id="22" w:name="_Toc446350374"/>
      <w:bookmarkStart w:id="23" w:name="_Toc196297197"/>
      <w:r>
        <w:rPr>
          <w:rFonts w:cs="Arial"/>
          <w:sz w:val="22"/>
          <w:szCs w:val="22"/>
          <w:u w:val="single"/>
        </w:rPr>
        <w:t>Fees for service and consultancy and related expenses</w:t>
      </w:r>
      <w:bookmarkEnd w:id="22"/>
      <w:bookmarkEnd w:id="23"/>
    </w:p>
    <w:p w14:paraId="4B91998A" w14:textId="77777777" w:rsidR="00CB5D85" w:rsidRDefault="00CB5D85">
      <w:pPr>
        <w:rPr>
          <w:rFonts w:cs="Arial"/>
          <w:color w:val="000000"/>
          <w:sz w:val="22"/>
          <w:szCs w:val="22"/>
        </w:rPr>
      </w:pPr>
    </w:p>
    <w:p w14:paraId="2BBC2BA9" w14:textId="77777777" w:rsidR="00CB5D85" w:rsidRDefault="00CB2E66">
      <w:pPr>
        <w:rPr>
          <w:rFonts w:cs="Arial"/>
          <w:color w:val="000000"/>
          <w:sz w:val="22"/>
          <w:szCs w:val="22"/>
        </w:rPr>
      </w:pPr>
      <w:r>
        <w:rPr>
          <w:rFonts w:cs="Arial"/>
          <w:color w:val="000000"/>
          <w:sz w:val="22"/>
          <w:szCs w:val="22"/>
        </w:rPr>
        <w:t xml:space="preserve">AZ engages an HCP/HCO for services when there is a genuine and legitimate business need and where the HCP/HCO is qualified and appropriate to provide the services. These services are paid with a Fee for Service at Fair Market Value. </w:t>
      </w:r>
    </w:p>
    <w:p w14:paraId="6CE3B4C7" w14:textId="77777777" w:rsidR="00CB5D85" w:rsidRDefault="00CB5D85">
      <w:pPr>
        <w:rPr>
          <w:rFonts w:cs="Arial"/>
          <w:color w:val="000000"/>
          <w:sz w:val="22"/>
          <w:szCs w:val="22"/>
        </w:rPr>
      </w:pPr>
    </w:p>
    <w:p w14:paraId="769B33F2" w14:textId="77777777" w:rsidR="00CB5D85" w:rsidRDefault="00CB2E66">
      <w:pPr>
        <w:rPr>
          <w:rFonts w:cs="Arial"/>
          <w:color w:val="000000"/>
          <w:sz w:val="22"/>
          <w:szCs w:val="22"/>
        </w:rPr>
      </w:pPr>
      <w:r>
        <w:rPr>
          <w:rFonts w:cs="Arial"/>
          <w:color w:val="000000"/>
          <w:sz w:val="22"/>
          <w:szCs w:val="22"/>
        </w:rPr>
        <w:t>These services can include:</w:t>
      </w:r>
    </w:p>
    <w:p w14:paraId="3B24BC48" w14:textId="77777777" w:rsidR="00CB5D85" w:rsidRDefault="00CB2E66">
      <w:pPr>
        <w:numPr>
          <w:ilvl w:val="0"/>
          <w:numId w:val="11"/>
        </w:numPr>
        <w:contextualSpacing/>
        <w:rPr>
          <w:rFonts w:cs="Arial"/>
          <w:color w:val="000000"/>
          <w:sz w:val="22"/>
          <w:szCs w:val="22"/>
        </w:rPr>
      </w:pPr>
      <w:r>
        <w:rPr>
          <w:rFonts w:cs="Arial"/>
          <w:color w:val="000000"/>
          <w:sz w:val="22"/>
          <w:szCs w:val="22"/>
        </w:rPr>
        <w:t>Speaking at and chairing meetings</w:t>
      </w:r>
    </w:p>
    <w:p w14:paraId="0B57E941" w14:textId="77777777" w:rsidR="00CB5D85" w:rsidRDefault="00CB2E66">
      <w:pPr>
        <w:numPr>
          <w:ilvl w:val="0"/>
          <w:numId w:val="11"/>
        </w:numPr>
        <w:contextualSpacing/>
        <w:rPr>
          <w:rFonts w:cs="Arial"/>
          <w:color w:val="000000"/>
          <w:sz w:val="22"/>
          <w:szCs w:val="22"/>
        </w:rPr>
      </w:pPr>
      <w:r>
        <w:rPr>
          <w:rFonts w:cs="Arial"/>
          <w:color w:val="000000"/>
          <w:sz w:val="22"/>
          <w:szCs w:val="22"/>
        </w:rPr>
        <w:t>Training services</w:t>
      </w:r>
    </w:p>
    <w:p w14:paraId="469C26F3"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Participation at advisory board meetings </w:t>
      </w:r>
    </w:p>
    <w:p w14:paraId="6F8F04ED"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Medical writing </w:t>
      </w:r>
    </w:p>
    <w:p w14:paraId="5CBCF155"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Data analysis </w:t>
      </w:r>
    </w:p>
    <w:p w14:paraId="57831FD2" w14:textId="77777777" w:rsidR="00CB5D85" w:rsidRDefault="00CB2E66">
      <w:pPr>
        <w:numPr>
          <w:ilvl w:val="0"/>
          <w:numId w:val="11"/>
        </w:numPr>
        <w:contextualSpacing/>
        <w:rPr>
          <w:rFonts w:cs="Arial"/>
          <w:color w:val="000000"/>
          <w:sz w:val="22"/>
          <w:szCs w:val="22"/>
        </w:rPr>
      </w:pPr>
      <w:r>
        <w:rPr>
          <w:rFonts w:cs="Arial"/>
          <w:color w:val="000000"/>
          <w:sz w:val="22"/>
          <w:szCs w:val="22"/>
        </w:rPr>
        <w:t>Development of education materials</w:t>
      </w:r>
    </w:p>
    <w:p w14:paraId="5C68A23D" w14:textId="77777777" w:rsidR="00CB5D85" w:rsidRDefault="00CB2E66">
      <w:pPr>
        <w:numPr>
          <w:ilvl w:val="0"/>
          <w:numId w:val="11"/>
        </w:numPr>
        <w:contextualSpacing/>
        <w:rPr>
          <w:rFonts w:cs="Arial"/>
          <w:color w:val="000000"/>
          <w:sz w:val="22"/>
          <w:szCs w:val="22"/>
        </w:rPr>
      </w:pPr>
      <w:r>
        <w:rPr>
          <w:rFonts w:cs="Arial"/>
          <w:color w:val="000000"/>
          <w:sz w:val="22"/>
          <w:szCs w:val="22"/>
        </w:rPr>
        <w:t>General consulting/advising</w:t>
      </w:r>
    </w:p>
    <w:p w14:paraId="3524EE07"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Services performed in connection with a </w:t>
      </w:r>
      <w:proofErr w:type="gramStart"/>
      <w:r>
        <w:rPr>
          <w:rFonts w:cs="Arial"/>
          <w:color w:val="000000"/>
          <w:sz w:val="22"/>
          <w:szCs w:val="22"/>
        </w:rPr>
        <w:t>third party</w:t>
      </w:r>
      <w:proofErr w:type="gramEnd"/>
      <w:r>
        <w:rPr>
          <w:rFonts w:cs="Arial"/>
          <w:color w:val="000000"/>
          <w:sz w:val="22"/>
          <w:szCs w:val="22"/>
        </w:rPr>
        <w:t xml:space="preserve"> congress </w:t>
      </w:r>
    </w:p>
    <w:p w14:paraId="64CC63A6" w14:textId="77777777" w:rsidR="00CB5D85" w:rsidRDefault="00CB2E66">
      <w:pPr>
        <w:numPr>
          <w:ilvl w:val="0"/>
          <w:numId w:val="11"/>
        </w:numPr>
        <w:contextualSpacing/>
        <w:rPr>
          <w:rFonts w:cs="Arial"/>
          <w:color w:val="000000"/>
          <w:sz w:val="22"/>
          <w:szCs w:val="22"/>
        </w:rPr>
      </w:pPr>
      <w:r>
        <w:rPr>
          <w:rFonts w:cs="Arial"/>
          <w:color w:val="000000"/>
          <w:sz w:val="22"/>
          <w:szCs w:val="22"/>
        </w:rPr>
        <w:t>Participation in market research where such participation involves remuneration and/or travel. Payments for these services are only disclosed if AZ is aware of the identity of those participating in the market research.</w:t>
      </w:r>
    </w:p>
    <w:p w14:paraId="1017C0BB" w14:textId="77777777" w:rsidR="00CB5D85" w:rsidRDefault="00CB5D85">
      <w:pPr>
        <w:rPr>
          <w:rFonts w:cs="Arial"/>
          <w:color w:val="000000"/>
          <w:sz w:val="22"/>
          <w:szCs w:val="22"/>
        </w:rPr>
      </w:pPr>
    </w:p>
    <w:p w14:paraId="7A498F36" w14:textId="77777777" w:rsidR="00CB5D85" w:rsidRDefault="00CB2E66">
      <w:r>
        <w:rPr>
          <w:rFonts w:cs="Arial"/>
          <w:color w:val="000000"/>
          <w:sz w:val="22"/>
          <w:szCs w:val="22"/>
        </w:rPr>
        <w:t xml:space="preserve">As part of the written Fee for Services Agreement, related expenses can be paid for and can include costs of flights, trains, car hire, tolls, parking fees, taxis, bus transfers, hotel accommodation and hospitality costs.  All costs paid by AZ to travel and or /accommodation providers or meeting organizers (where relevant) or reimbursed supported by appropriate receipts. </w:t>
      </w:r>
    </w:p>
    <w:p w14:paraId="7307FD2E" w14:textId="77777777" w:rsidR="00CB5D85" w:rsidRDefault="00CB5D85">
      <w:pPr>
        <w:rPr>
          <w:rFonts w:cs="Arial"/>
          <w:color w:val="000000"/>
          <w:sz w:val="22"/>
          <w:szCs w:val="22"/>
        </w:rPr>
      </w:pPr>
    </w:p>
    <w:p w14:paraId="1488C393" w14:textId="77777777" w:rsidR="00CB5D85" w:rsidRDefault="00CB2E66" w:rsidP="00D227BD">
      <w:pPr>
        <w:keepNext/>
        <w:keepLines/>
        <w:numPr>
          <w:ilvl w:val="2"/>
          <w:numId w:val="7"/>
        </w:numPr>
        <w:suppressAutoHyphens w:val="0"/>
        <w:autoSpaceDN/>
        <w:spacing w:before="40"/>
        <w:outlineLvl w:val="2"/>
        <w:rPr>
          <w:rFonts w:cs="Arial"/>
          <w:sz w:val="22"/>
          <w:szCs w:val="22"/>
          <w:u w:val="single"/>
        </w:rPr>
      </w:pPr>
      <w:bookmarkStart w:id="24" w:name="_Toc446350375"/>
      <w:bookmarkStart w:id="25" w:name="_Toc196297198"/>
      <w:r>
        <w:rPr>
          <w:rFonts w:cs="Arial"/>
          <w:sz w:val="22"/>
          <w:szCs w:val="22"/>
          <w:u w:val="single"/>
        </w:rPr>
        <w:t>Research and Development</w:t>
      </w:r>
      <w:bookmarkEnd w:id="24"/>
      <w:bookmarkEnd w:id="25"/>
    </w:p>
    <w:p w14:paraId="5DC3AD9A" w14:textId="77777777" w:rsidR="00CB5D85" w:rsidRDefault="00CB5D85">
      <w:pPr>
        <w:rPr>
          <w:rFonts w:cs="Arial"/>
          <w:color w:val="000000"/>
          <w:sz w:val="22"/>
          <w:szCs w:val="22"/>
        </w:rPr>
      </w:pPr>
    </w:p>
    <w:p w14:paraId="36E7C68F" w14:textId="77777777" w:rsidR="00CB5D85" w:rsidRDefault="00CB2E66">
      <w:pPr>
        <w:rPr>
          <w:rFonts w:cs="Arial"/>
          <w:color w:val="000000"/>
          <w:sz w:val="22"/>
          <w:szCs w:val="22"/>
        </w:rPr>
      </w:pPr>
      <w:r>
        <w:rPr>
          <w:rFonts w:cs="Arial"/>
          <w:color w:val="000000"/>
          <w:sz w:val="22"/>
          <w:szCs w:val="22"/>
        </w:rPr>
        <w:t xml:space="preserve">All </w:t>
      </w:r>
      <w:proofErr w:type="spellStart"/>
      <w:r>
        <w:rPr>
          <w:rFonts w:cs="Arial"/>
          <w:color w:val="000000"/>
          <w:sz w:val="22"/>
          <w:szCs w:val="22"/>
        </w:rPr>
        <w:t>ToVs</w:t>
      </w:r>
      <w:proofErr w:type="spellEnd"/>
      <w:r>
        <w:rPr>
          <w:rFonts w:cs="Arial"/>
          <w:color w:val="000000"/>
          <w:sz w:val="22"/>
          <w:szCs w:val="22"/>
        </w:rPr>
        <w:t xml:space="preserve"> related to the planning or conduct of non-clinical studies, clinical trials and non-interventional studies performed by AZ or by Clinical Research Organizations on AZ's behalf that are prospective in nature are considered Research &amp; Development </w:t>
      </w:r>
      <w:proofErr w:type="spellStart"/>
      <w:r>
        <w:rPr>
          <w:rFonts w:cs="Arial"/>
          <w:color w:val="000000"/>
          <w:sz w:val="22"/>
          <w:szCs w:val="22"/>
        </w:rPr>
        <w:t>ToVs</w:t>
      </w:r>
      <w:proofErr w:type="spellEnd"/>
      <w:r>
        <w:rPr>
          <w:rFonts w:cs="Arial"/>
          <w:color w:val="000000"/>
          <w:sz w:val="22"/>
          <w:szCs w:val="22"/>
        </w:rPr>
        <w:t xml:space="preserve"> and are reported on an aggregate basis. </w:t>
      </w:r>
    </w:p>
    <w:p w14:paraId="74B93F14" w14:textId="77777777" w:rsidR="00CB5D85" w:rsidRDefault="00CB5D85">
      <w:pPr>
        <w:rPr>
          <w:rFonts w:cs="Arial"/>
          <w:color w:val="000000"/>
          <w:sz w:val="22"/>
          <w:szCs w:val="22"/>
        </w:rPr>
      </w:pPr>
    </w:p>
    <w:p w14:paraId="01B5C806" w14:textId="77777777" w:rsidR="00CB5D85" w:rsidRDefault="00CB2E66">
      <w:pPr>
        <w:rPr>
          <w:rFonts w:cs="Arial"/>
          <w:color w:val="000000"/>
          <w:sz w:val="22"/>
          <w:szCs w:val="22"/>
        </w:rPr>
      </w:pPr>
      <w:proofErr w:type="spellStart"/>
      <w:r>
        <w:rPr>
          <w:rFonts w:cs="Arial"/>
          <w:color w:val="000000"/>
          <w:sz w:val="22"/>
          <w:szCs w:val="22"/>
        </w:rPr>
        <w:t>ToVs</w:t>
      </w:r>
      <w:proofErr w:type="spellEnd"/>
      <w:r>
        <w:rPr>
          <w:rFonts w:cs="Arial"/>
          <w:color w:val="000000"/>
          <w:sz w:val="22"/>
          <w:szCs w:val="22"/>
        </w:rPr>
        <w:t xml:space="preserve"> related to R&amp;D activities can include the following: </w:t>
      </w:r>
    </w:p>
    <w:p w14:paraId="35C73512" w14:textId="77777777" w:rsidR="00CB5D85" w:rsidRDefault="00CB2E66">
      <w:pPr>
        <w:numPr>
          <w:ilvl w:val="0"/>
          <w:numId w:val="11"/>
        </w:numPr>
        <w:contextualSpacing/>
        <w:rPr>
          <w:rFonts w:cs="Arial"/>
          <w:color w:val="000000"/>
          <w:sz w:val="22"/>
          <w:szCs w:val="22"/>
        </w:rPr>
      </w:pPr>
      <w:r>
        <w:rPr>
          <w:rFonts w:cs="Arial"/>
          <w:color w:val="000000"/>
          <w:sz w:val="22"/>
          <w:szCs w:val="22"/>
        </w:rPr>
        <w:t xml:space="preserve">Science Units are separate entities within AZ and perform non-clinical studies (as defined in OECD Principles on Good Laboratory Practice) and clinical trials (as defined in Directive 2001/20/EC). Where Science Units have made </w:t>
      </w:r>
      <w:proofErr w:type="spellStart"/>
      <w:r>
        <w:rPr>
          <w:rFonts w:cs="Arial"/>
          <w:color w:val="000000"/>
          <w:sz w:val="22"/>
          <w:szCs w:val="22"/>
        </w:rPr>
        <w:t>ToVs</w:t>
      </w:r>
      <w:proofErr w:type="spellEnd"/>
      <w:r>
        <w:rPr>
          <w:rFonts w:cs="Arial"/>
          <w:color w:val="000000"/>
          <w:sz w:val="22"/>
          <w:szCs w:val="22"/>
        </w:rPr>
        <w:t xml:space="preserve"> to HCPs or HCOs, these have </w:t>
      </w:r>
      <w:proofErr w:type="gramStart"/>
      <w:r>
        <w:rPr>
          <w:rFonts w:cs="Arial"/>
          <w:color w:val="000000"/>
          <w:sz w:val="22"/>
          <w:szCs w:val="22"/>
        </w:rPr>
        <w:t>been considered to be</w:t>
      </w:r>
      <w:proofErr w:type="gramEnd"/>
      <w:r>
        <w:rPr>
          <w:rFonts w:cs="Arial"/>
          <w:color w:val="000000"/>
          <w:sz w:val="22"/>
          <w:szCs w:val="22"/>
        </w:rPr>
        <w:t xml:space="preserve"> related to R&amp;D activities. Events or consultancy fees in relation to R&amp;D are also reported in the aggregate. </w:t>
      </w:r>
    </w:p>
    <w:p w14:paraId="364BB16F" w14:textId="77777777" w:rsidR="00CB5D85" w:rsidRDefault="00CB2E66">
      <w:pPr>
        <w:numPr>
          <w:ilvl w:val="0"/>
          <w:numId w:val="11"/>
        </w:numPr>
        <w:contextualSpacing/>
        <w:rPr>
          <w:rFonts w:cs="Arial"/>
          <w:color w:val="000000"/>
          <w:sz w:val="22"/>
          <w:szCs w:val="22"/>
        </w:rPr>
      </w:pPr>
      <w:r>
        <w:rPr>
          <w:rFonts w:cs="Arial"/>
          <w:color w:val="000000"/>
          <w:sz w:val="22"/>
          <w:szCs w:val="22"/>
        </w:rPr>
        <w:lastRenderedPageBreak/>
        <w:t xml:space="preserve">Costs related to events that are clearly related to activities covered by the R&amp;D </w:t>
      </w:r>
      <w:proofErr w:type="spellStart"/>
      <w:r>
        <w:rPr>
          <w:rFonts w:cs="Arial"/>
          <w:color w:val="000000"/>
          <w:sz w:val="22"/>
          <w:szCs w:val="22"/>
        </w:rPr>
        <w:t>ToV</w:t>
      </w:r>
      <w:proofErr w:type="spellEnd"/>
      <w:r>
        <w:rPr>
          <w:rFonts w:cs="Arial"/>
          <w:color w:val="000000"/>
          <w:sz w:val="22"/>
          <w:szCs w:val="22"/>
        </w:rPr>
        <w:t xml:space="preserve"> (e.g. clinical investigator meetings, Steering Committee meetings for a specific clinical trial)</w:t>
      </w:r>
    </w:p>
    <w:p w14:paraId="10E2BB28" w14:textId="77777777" w:rsidR="00CB5D85" w:rsidRDefault="00CB5D85">
      <w:pPr>
        <w:rPr>
          <w:rFonts w:cs="Arial"/>
          <w:color w:val="000000"/>
          <w:sz w:val="22"/>
          <w:szCs w:val="22"/>
        </w:rPr>
      </w:pPr>
    </w:p>
    <w:p w14:paraId="65329A1D" w14:textId="77777777" w:rsidR="00CB5D85" w:rsidRDefault="00CB2E66">
      <w:pPr>
        <w:rPr>
          <w:rFonts w:cs="Arial"/>
          <w:color w:val="000000"/>
          <w:sz w:val="22"/>
          <w:szCs w:val="22"/>
        </w:rPr>
      </w:pPr>
      <w:r>
        <w:rPr>
          <w:rFonts w:cs="Arial"/>
          <w:color w:val="000000"/>
          <w:sz w:val="22"/>
          <w:szCs w:val="22"/>
        </w:rPr>
        <w:t xml:space="preserve">Retrospective non-interventional studies or other studies that are not submitted to authorities as per local drug law do not fall under the category of R&amp;D activities. </w:t>
      </w:r>
    </w:p>
    <w:p w14:paraId="614F274B" w14:textId="77777777" w:rsidR="00CB5D85" w:rsidRDefault="00CB5D85">
      <w:pPr>
        <w:rPr>
          <w:rFonts w:cs="Arial"/>
          <w:color w:val="000000"/>
          <w:sz w:val="22"/>
          <w:szCs w:val="22"/>
        </w:rPr>
      </w:pPr>
    </w:p>
    <w:p w14:paraId="34A36381" w14:textId="77777777" w:rsidR="00CB5D85" w:rsidRDefault="00CB5D85">
      <w:pPr>
        <w:rPr>
          <w:rFonts w:cs="Arial"/>
          <w:color w:val="000000"/>
          <w:sz w:val="22"/>
          <w:szCs w:val="22"/>
        </w:rPr>
      </w:pPr>
    </w:p>
    <w:p w14:paraId="7B2D1DFB" w14:textId="77777777" w:rsidR="00CB5D85" w:rsidRDefault="00CB2E66" w:rsidP="00D227BD">
      <w:pPr>
        <w:keepNext/>
        <w:keepLines/>
        <w:numPr>
          <w:ilvl w:val="0"/>
          <w:numId w:val="5"/>
        </w:numPr>
        <w:tabs>
          <w:tab w:val="num" w:pos="284"/>
          <w:tab w:val="num" w:pos="720"/>
        </w:tabs>
        <w:suppressAutoHyphens w:val="0"/>
        <w:autoSpaceDN/>
        <w:spacing w:before="240"/>
        <w:ind w:left="284" w:hanging="284"/>
        <w:outlineLvl w:val="0"/>
        <w:rPr>
          <w:rFonts w:cs="Arial"/>
          <w:b/>
          <w:color w:val="000000"/>
          <w:sz w:val="22"/>
          <w:szCs w:val="22"/>
        </w:rPr>
      </w:pPr>
      <w:bookmarkStart w:id="26" w:name="_Toc446350376"/>
      <w:bookmarkStart w:id="27" w:name="_Toc196297199"/>
      <w:r>
        <w:rPr>
          <w:rFonts w:cs="Arial"/>
          <w:b/>
          <w:color w:val="000000"/>
          <w:sz w:val="22"/>
          <w:szCs w:val="22"/>
        </w:rPr>
        <w:t>Scope of disclosure</w:t>
      </w:r>
      <w:bookmarkEnd w:id="26"/>
      <w:bookmarkEnd w:id="27"/>
    </w:p>
    <w:p w14:paraId="0CE42963" w14:textId="77777777" w:rsidR="00CB5D85" w:rsidRDefault="00CB5D85">
      <w:pPr>
        <w:rPr>
          <w:rFonts w:cs="Arial"/>
          <w:color w:val="000000"/>
          <w:sz w:val="22"/>
          <w:szCs w:val="22"/>
        </w:rPr>
      </w:pPr>
    </w:p>
    <w:p w14:paraId="2814708A" w14:textId="77777777" w:rsidR="00CB5D85" w:rsidRDefault="00CB2E66" w:rsidP="00D227BD">
      <w:pPr>
        <w:keepNext/>
        <w:keepLines/>
        <w:numPr>
          <w:ilvl w:val="1"/>
          <w:numId w:val="14"/>
        </w:numPr>
        <w:suppressAutoHyphens w:val="0"/>
        <w:autoSpaceDN/>
        <w:spacing w:before="40"/>
        <w:ind w:left="851" w:hanging="425"/>
        <w:outlineLvl w:val="1"/>
        <w:rPr>
          <w:rFonts w:cs="Arial"/>
          <w:b/>
          <w:sz w:val="22"/>
          <w:szCs w:val="22"/>
        </w:rPr>
      </w:pPr>
      <w:bookmarkStart w:id="28" w:name="_Toc446350377"/>
      <w:bookmarkStart w:id="29" w:name="_Toc196297200"/>
      <w:r>
        <w:rPr>
          <w:rFonts w:cs="Arial"/>
          <w:b/>
          <w:sz w:val="22"/>
          <w:szCs w:val="22"/>
        </w:rPr>
        <w:t>Products concerned</w:t>
      </w:r>
      <w:bookmarkEnd w:id="28"/>
      <w:bookmarkEnd w:id="29"/>
    </w:p>
    <w:p w14:paraId="332E331A" w14:textId="77777777" w:rsidR="00CB5D85" w:rsidRDefault="00CB5D85">
      <w:pPr>
        <w:rPr>
          <w:rFonts w:cs="Arial"/>
          <w:color w:val="000000"/>
          <w:sz w:val="22"/>
          <w:szCs w:val="22"/>
        </w:rPr>
      </w:pPr>
    </w:p>
    <w:p w14:paraId="0E6B458A" w14:textId="77777777" w:rsidR="00CB5D85" w:rsidRDefault="00CB2E66">
      <w:pPr>
        <w:rPr>
          <w:rFonts w:cs="Arial"/>
          <w:color w:val="000000"/>
          <w:sz w:val="22"/>
          <w:szCs w:val="22"/>
        </w:rPr>
      </w:pPr>
      <w:r>
        <w:rPr>
          <w:rFonts w:cs="Arial"/>
          <w:color w:val="000000"/>
          <w:sz w:val="22"/>
          <w:szCs w:val="22"/>
        </w:rPr>
        <w:t xml:space="preserve">AZ is a science focused company, developing innovative medicines that are prescription only medicines and interactions with HCPs/HCOs are focused on the development and promotion of prescription medicines.  Consequently, only </w:t>
      </w:r>
      <w:proofErr w:type="spellStart"/>
      <w:r>
        <w:rPr>
          <w:rFonts w:cs="Arial"/>
          <w:color w:val="000000"/>
          <w:sz w:val="22"/>
          <w:szCs w:val="22"/>
        </w:rPr>
        <w:t>ToVs</w:t>
      </w:r>
      <w:proofErr w:type="spellEnd"/>
      <w:r>
        <w:rPr>
          <w:rFonts w:cs="Arial"/>
          <w:color w:val="000000"/>
          <w:sz w:val="22"/>
          <w:szCs w:val="22"/>
        </w:rPr>
        <w:t xml:space="preserve"> relating to prescription medicines are being disclosed. </w:t>
      </w:r>
    </w:p>
    <w:p w14:paraId="4457717C" w14:textId="77777777" w:rsidR="00CB5D85" w:rsidRDefault="00CB5D85">
      <w:pPr>
        <w:rPr>
          <w:rFonts w:cs="Arial"/>
          <w:color w:val="000000"/>
          <w:sz w:val="22"/>
          <w:szCs w:val="22"/>
        </w:rPr>
      </w:pPr>
    </w:p>
    <w:p w14:paraId="69A97E48" w14:textId="77777777" w:rsidR="00CB5D85" w:rsidRDefault="00CB5D85">
      <w:pPr>
        <w:rPr>
          <w:rFonts w:cs="Arial"/>
          <w:color w:val="000000"/>
          <w:sz w:val="22"/>
          <w:szCs w:val="22"/>
        </w:rPr>
      </w:pPr>
    </w:p>
    <w:p w14:paraId="265E8100" w14:textId="77777777" w:rsidR="00CB5D85" w:rsidRDefault="00CB2E66" w:rsidP="00D227BD">
      <w:pPr>
        <w:keepNext/>
        <w:keepLines/>
        <w:numPr>
          <w:ilvl w:val="1"/>
          <w:numId w:val="13"/>
        </w:numPr>
        <w:suppressAutoHyphens w:val="0"/>
        <w:autoSpaceDN/>
        <w:spacing w:before="40"/>
        <w:ind w:left="851" w:hanging="425"/>
        <w:outlineLvl w:val="1"/>
        <w:rPr>
          <w:rFonts w:cs="Arial"/>
          <w:b/>
          <w:sz w:val="22"/>
          <w:szCs w:val="22"/>
        </w:rPr>
      </w:pPr>
      <w:bookmarkStart w:id="30" w:name="_Toc446350378"/>
      <w:bookmarkStart w:id="31" w:name="_Toc196297201"/>
      <w:r>
        <w:rPr>
          <w:rFonts w:cs="Arial"/>
          <w:b/>
          <w:sz w:val="22"/>
          <w:szCs w:val="22"/>
        </w:rPr>
        <w:t xml:space="preserve">Excluded </w:t>
      </w:r>
      <w:proofErr w:type="spellStart"/>
      <w:r>
        <w:rPr>
          <w:rFonts w:cs="Arial"/>
          <w:b/>
          <w:sz w:val="22"/>
          <w:szCs w:val="22"/>
        </w:rPr>
        <w:t>ToVs</w:t>
      </w:r>
      <w:bookmarkEnd w:id="30"/>
      <w:bookmarkEnd w:id="31"/>
      <w:proofErr w:type="spellEnd"/>
    </w:p>
    <w:p w14:paraId="1287A59C" w14:textId="77777777" w:rsidR="00CB5D85" w:rsidRDefault="00CB5D85">
      <w:pPr>
        <w:ind w:left="567"/>
        <w:contextualSpacing/>
        <w:rPr>
          <w:rFonts w:cs="Arial"/>
          <w:b/>
          <w:color w:val="000000"/>
          <w:sz w:val="22"/>
          <w:szCs w:val="22"/>
        </w:rPr>
      </w:pPr>
    </w:p>
    <w:p w14:paraId="78E90585"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32" w:name="_Toc446350379"/>
      <w:bookmarkStart w:id="33" w:name="_Toc196297202"/>
      <w:r>
        <w:rPr>
          <w:rFonts w:cs="Arial"/>
          <w:sz w:val="22"/>
          <w:szCs w:val="22"/>
          <w:u w:val="single"/>
        </w:rPr>
        <w:t>Hospitality costs</w:t>
      </w:r>
      <w:bookmarkEnd w:id="32"/>
      <w:bookmarkEnd w:id="33"/>
    </w:p>
    <w:p w14:paraId="1E85B3D5" w14:textId="77777777" w:rsidR="00CB5D85" w:rsidRDefault="00CB5D85">
      <w:pPr>
        <w:rPr>
          <w:rFonts w:cs="Arial"/>
          <w:b/>
          <w:color w:val="000000"/>
          <w:sz w:val="22"/>
          <w:szCs w:val="22"/>
        </w:rPr>
      </w:pPr>
    </w:p>
    <w:p w14:paraId="0A50B73E" w14:textId="77777777" w:rsidR="00CB5D85" w:rsidRDefault="00CB2E66">
      <w:pPr>
        <w:rPr>
          <w:rFonts w:cs="Arial"/>
          <w:color w:val="000000"/>
          <w:sz w:val="22"/>
          <w:szCs w:val="22"/>
        </w:rPr>
      </w:pPr>
      <w:r>
        <w:rPr>
          <w:rFonts w:cs="Arial"/>
          <w:color w:val="000000"/>
          <w:sz w:val="22"/>
          <w:szCs w:val="22"/>
        </w:rPr>
        <w:t xml:space="preserve">As per Section 1.02 of the Disclosure Code, hospitality costs are not disclosable if in line with the limits set within the national association following Art 10 of the HCP Code. AZ applies these limits for AZ Organized &amp; Sponsored Meetings, and therefore costs of meals &amp; drinks are excluded. However, where meals and drinks make up an integral and inseparable part of contributions to the cost of events or sponsoring as part of Sponsorship Agreements with HCOs, they have been included in Contributions to Cost of Events. </w:t>
      </w:r>
    </w:p>
    <w:p w14:paraId="5592763A" w14:textId="77777777" w:rsidR="00CB5D85" w:rsidRDefault="00CB5D85">
      <w:pPr>
        <w:rPr>
          <w:rFonts w:cs="Arial"/>
          <w:color w:val="000000"/>
          <w:sz w:val="22"/>
          <w:szCs w:val="22"/>
        </w:rPr>
      </w:pPr>
    </w:p>
    <w:p w14:paraId="6ECE6B74"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34" w:name="_Toc446350380"/>
      <w:bookmarkStart w:id="35" w:name="_Toc196297203"/>
      <w:r>
        <w:rPr>
          <w:rFonts w:cs="Arial"/>
          <w:sz w:val="22"/>
          <w:szCs w:val="22"/>
          <w:u w:val="single"/>
        </w:rPr>
        <w:t>Informational and Educational Materials and Items of Medical Utility</w:t>
      </w:r>
      <w:bookmarkEnd w:id="34"/>
      <w:bookmarkEnd w:id="35"/>
      <w:r>
        <w:rPr>
          <w:rFonts w:cs="Arial"/>
          <w:sz w:val="22"/>
          <w:szCs w:val="22"/>
          <w:u w:val="single"/>
        </w:rPr>
        <w:t xml:space="preserve"> </w:t>
      </w:r>
    </w:p>
    <w:p w14:paraId="7FFD3FEA" w14:textId="77777777" w:rsidR="00CB5D85" w:rsidRDefault="00CB5D85">
      <w:pPr>
        <w:rPr>
          <w:rFonts w:cs="Arial"/>
          <w:color w:val="000000"/>
          <w:sz w:val="22"/>
          <w:szCs w:val="22"/>
        </w:rPr>
      </w:pPr>
    </w:p>
    <w:p w14:paraId="318A0119" w14:textId="77777777" w:rsidR="00CB5D85" w:rsidRDefault="00CB2E66">
      <w:pPr>
        <w:rPr>
          <w:rFonts w:cs="Arial"/>
          <w:color w:val="000000"/>
          <w:sz w:val="22"/>
          <w:szCs w:val="22"/>
        </w:rPr>
      </w:pPr>
      <w:r>
        <w:rPr>
          <w:rFonts w:cs="Arial"/>
          <w:color w:val="000000"/>
          <w:sz w:val="22"/>
          <w:szCs w:val="22"/>
        </w:rPr>
        <w:t xml:space="preserve">As per Section 1.02 of the EFPIA Disclosure Code, items of medical utility for HCPs and informational and educational material are not disclosed where in line with Art 9 of the HCP Code which states that "The transmission of informational or educational materials is permitted provided it is: (i) “inexpensive”; (ii) directly relevant to the practice of medicine or pharmacy; and (iii) directly beneficial to the care of patients". </w:t>
      </w:r>
    </w:p>
    <w:p w14:paraId="1658F71F" w14:textId="77777777" w:rsidR="00CB5D85" w:rsidRDefault="00CB5D85">
      <w:pPr>
        <w:rPr>
          <w:rFonts w:cs="Arial"/>
          <w:color w:val="000000"/>
          <w:sz w:val="22"/>
          <w:szCs w:val="22"/>
        </w:rPr>
      </w:pPr>
    </w:p>
    <w:p w14:paraId="6E0D2E56"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36" w:name="_Toc446350381"/>
      <w:bookmarkStart w:id="37" w:name="_Toc196297204"/>
      <w:r>
        <w:rPr>
          <w:rFonts w:cs="Arial"/>
          <w:sz w:val="22"/>
          <w:szCs w:val="22"/>
          <w:u w:val="single"/>
        </w:rPr>
        <w:t>Logistical costs</w:t>
      </w:r>
      <w:bookmarkEnd w:id="36"/>
      <w:bookmarkEnd w:id="37"/>
      <w:r>
        <w:rPr>
          <w:rFonts w:cs="Arial"/>
          <w:sz w:val="22"/>
          <w:szCs w:val="22"/>
          <w:u w:val="single"/>
        </w:rPr>
        <w:t xml:space="preserve"> </w:t>
      </w:r>
    </w:p>
    <w:p w14:paraId="0AB77D6D" w14:textId="77777777" w:rsidR="00CB5D85" w:rsidRDefault="00CB5D85">
      <w:pPr>
        <w:rPr>
          <w:rFonts w:cs="Arial"/>
          <w:color w:val="000000"/>
          <w:sz w:val="22"/>
          <w:szCs w:val="22"/>
        </w:rPr>
      </w:pPr>
    </w:p>
    <w:p w14:paraId="3C536C87" w14:textId="77777777" w:rsidR="00CB5D85" w:rsidRDefault="00CB2E66">
      <w:pPr>
        <w:rPr>
          <w:rFonts w:cs="Arial"/>
          <w:color w:val="000000"/>
          <w:sz w:val="22"/>
          <w:szCs w:val="22"/>
        </w:rPr>
      </w:pPr>
      <w:r>
        <w:rPr>
          <w:rFonts w:cs="Arial"/>
          <w:color w:val="000000"/>
          <w:sz w:val="22"/>
          <w:szCs w:val="22"/>
        </w:rPr>
        <w:t xml:space="preserve">Logistical costs related to AZ Organized Meetings (e.g. room hire, technics, personnel) are excluded. However, </w:t>
      </w:r>
      <w:proofErr w:type="spellStart"/>
      <w:r>
        <w:rPr>
          <w:rFonts w:cs="Arial"/>
          <w:color w:val="000000"/>
          <w:sz w:val="22"/>
          <w:szCs w:val="22"/>
        </w:rPr>
        <w:t>ToVs</w:t>
      </w:r>
      <w:proofErr w:type="spellEnd"/>
      <w:r>
        <w:rPr>
          <w:rFonts w:cs="Arial"/>
          <w:color w:val="000000"/>
          <w:sz w:val="22"/>
          <w:szCs w:val="22"/>
        </w:rPr>
        <w:t xml:space="preserve"> to participants, such as support for travel and accommodation or speaker fees to HCPs are included in the relevant cost category.</w:t>
      </w:r>
    </w:p>
    <w:p w14:paraId="67775E24" w14:textId="77777777" w:rsidR="00CB5D85" w:rsidRDefault="00CB5D85">
      <w:pPr>
        <w:rPr>
          <w:rFonts w:cs="Arial"/>
          <w:color w:val="000000"/>
          <w:sz w:val="22"/>
          <w:szCs w:val="22"/>
        </w:rPr>
      </w:pPr>
    </w:p>
    <w:p w14:paraId="696388E1" w14:textId="77777777" w:rsidR="00CB5D85" w:rsidRPr="00D227BD"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38" w:name="_Toc446350382"/>
      <w:bookmarkStart w:id="39" w:name="_Toc196297205"/>
      <w:r w:rsidRPr="00D227BD">
        <w:rPr>
          <w:rFonts w:cs="Arial"/>
          <w:sz w:val="22"/>
          <w:szCs w:val="22"/>
          <w:u w:val="single"/>
        </w:rPr>
        <w:t xml:space="preserve">Donations to charitable </w:t>
      </w:r>
      <w:proofErr w:type="spellStart"/>
      <w:r w:rsidRPr="00D227BD">
        <w:rPr>
          <w:rFonts w:cs="Arial"/>
          <w:sz w:val="22"/>
          <w:szCs w:val="22"/>
          <w:u w:val="single"/>
        </w:rPr>
        <w:t>organisations</w:t>
      </w:r>
      <w:proofErr w:type="spellEnd"/>
      <w:r w:rsidRPr="00D227BD">
        <w:rPr>
          <w:rFonts w:cs="Arial"/>
          <w:sz w:val="22"/>
          <w:szCs w:val="22"/>
          <w:u w:val="single"/>
        </w:rPr>
        <w:t xml:space="preserve"> &amp; Patient Organizations</w:t>
      </w:r>
      <w:bookmarkEnd w:id="38"/>
      <w:bookmarkEnd w:id="39"/>
      <w:r w:rsidRPr="00D227BD">
        <w:rPr>
          <w:rFonts w:cs="Arial"/>
          <w:sz w:val="22"/>
          <w:szCs w:val="22"/>
          <w:u w:val="single"/>
        </w:rPr>
        <w:t xml:space="preserve"> </w:t>
      </w:r>
    </w:p>
    <w:p w14:paraId="2A871EF8" w14:textId="77777777" w:rsidR="00CB5D85" w:rsidRDefault="00CB5D85">
      <w:pPr>
        <w:rPr>
          <w:rFonts w:cs="Arial"/>
          <w:color w:val="000000"/>
          <w:sz w:val="22"/>
          <w:szCs w:val="22"/>
          <w:lang w:val="fr-FR"/>
        </w:rPr>
      </w:pPr>
    </w:p>
    <w:p w14:paraId="1CBBD3E8" w14:textId="77777777" w:rsidR="00CB5D85" w:rsidRDefault="00CB2E66">
      <w:pPr>
        <w:rPr>
          <w:rFonts w:cs="Arial"/>
          <w:color w:val="000000"/>
          <w:sz w:val="22"/>
          <w:szCs w:val="22"/>
        </w:rPr>
      </w:pPr>
      <w:r>
        <w:rPr>
          <w:rFonts w:cs="Arial"/>
          <w:color w:val="000000"/>
          <w:sz w:val="22"/>
          <w:szCs w:val="22"/>
        </w:rPr>
        <w:t xml:space="preserve">All </w:t>
      </w:r>
      <w:proofErr w:type="spellStart"/>
      <w:r>
        <w:rPr>
          <w:rFonts w:cs="Arial"/>
          <w:color w:val="000000"/>
          <w:sz w:val="22"/>
          <w:szCs w:val="22"/>
        </w:rPr>
        <w:t>ToVs</w:t>
      </w:r>
      <w:proofErr w:type="spellEnd"/>
      <w:r>
        <w:rPr>
          <w:rFonts w:cs="Arial"/>
          <w:color w:val="000000"/>
          <w:sz w:val="22"/>
          <w:szCs w:val="22"/>
        </w:rPr>
        <w:t xml:space="preserve"> to non-HCO organizations are out of scope and excluded e.g. charitable organizations.</w:t>
      </w:r>
    </w:p>
    <w:p w14:paraId="6CBD2D84" w14:textId="77777777" w:rsidR="00CB5D85" w:rsidRDefault="00CB5D85">
      <w:pPr>
        <w:rPr>
          <w:rFonts w:cs="Arial"/>
          <w:color w:val="000000"/>
          <w:sz w:val="22"/>
          <w:szCs w:val="22"/>
        </w:rPr>
      </w:pPr>
    </w:p>
    <w:p w14:paraId="308810AC" w14:textId="77777777" w:rsidR="00CB5D85" w:rsidRDefault="00CB2E66">
      <w:pPr>
        <w:rPr>
          <w:rFonts w:cs="Arial"/>
          <w:color w:val="000000"/>
          <w:sz w:val="22"/>
          <w:szCs w:val="22"/>
        </w:rPr>
      </w:pPr>
      <w:r>
        <w:rPr>
          <w:rFonts w:cs="Arial"/>
          <w:color w:val="000000"/>
          <w:sz w:val="22"/>
          <w:szCs w:val="22"/>
        </w:rPr>
        <w:t xml:space="preserve">All </w:t>
      </w:r>
      <w:proofErr w:type="spellStart"/>
      <w:r>
        <w:rPr>
          <w:rFonts w:cs="Arial"/>
          <w:color w:val="000000"/>
          <w:sz w:val="22"/>
          <w:szCs w:val="22"/>
        </w:rPr>
        <w:t>ToVs</w:t>
      </w:r>
      <w:proofErr w:type="spellEnd"/>
      <w:r>
        <w:rPr>
          <w:rFonts w:cs="Arial"/>
          <w:color w:val="000000"/>
          <w:sz w:val="22"/>
          <w:szCs w:val="22"/>
        </w:rPr>
        <w:t xml:space="preserve"> to Patient Organizations are in scope.</w:t>
      </w:r>
    </w:p>
    <w:p w14:paraId="6EF469BA" w14:textId="77777777" w:rsidR="00CB5D85" w:rsidRDefault="00CB5D85">
      <w:pPr>
        <w:rPr>
          <w:rFonts w:cs="Arial"/>
          <w:color w:val="000000"/>
          <w:sz w:val="22"/>
          <w:szCs w:val="22"/>
        </w:rPr>
      </w:pPr>
    </w:p>
    <w:p w14:paraId="3188FD35" w14:textId="77777777" w:rsidR="00CB5D85" w:rsidRDefault="00CB5D85">
      <w:pPr>
        <w:rPr>
          <w:rFonts w:cs="Arial"/>
          <w:color w:val="000000"/>
          <w:sz w:val="22"/>
          <w:szCs w:val="22"/>
        </w:rPr>
      </w:pPr>
    </w:p>
    <w:p w14:paraId="6F669ED0" w14:textId="77777777" w:rsidR="00CB5D85" w:rsidRDefault="00CB2E66" w:rsidP="00D227BD">
      <w:pPr>
        <w:keepNext/>
        <w:keepLines/>
        <w:numPr>
          <w:ilvl w:val="1"/>
          <w:numId w:val="13"/>
        </w:numPr>
        <w:suppressAutoHyphens w:val="0"/>
        <w:autoSpaceDN/>
        <w:spacing w:before="40"/>
        <w:ind w:left="851" w:hanging="425"/>
        <w:outlineLvl w:val="1"/>
        <w:rPr>
          <w:rFonts w:cs="Arial"/>
          <w:b/>
          <w:sz w:val="22"/>
          <w:szCs w:val="22"/>
        </w:rPr>
      </w:pPr>
      <w:bookmarkStart w:id="40" w:name="_Toc446350383"/>
      <w:bookmarkStart w:id="41" w:name="_Toc196297206"/>
      <w:r>
        <w:rPr>
          <w:rFonts w:cs="Arial"/>
          <w:b/>
          <w:sz w:val="22"/>
          <w:szCs w:val="22"/>
        </w:rPr>
        <w:t xml:space="preserve">Date of </w:t>
      </w:r>
      <w:proofErr w:type="spellStart"/>
      <w:r>
        <w:rPr>
          <w:rFonts w:cs="Arial"/>
          <w:b/>
          <w:sz w:val="22"/>
          <w:szCs w:val="22"/>
        </w:rPr>
        <w:t>ToVs</w:t>
      </w:r>
      <w:bookmarkEnd w:id="40"/>
      <w:bookmarkEnd w:id="41"/>
      <w:proofErr w:type="spellEnd"/>
    </w:p>
    <w:p w14:paraId="4EE7731E" w14:textId="77777777" w:rsidR="00CB5D85" w:rsidRDefault="00CB5D85">
      <w:pPr>
        <w:ind w:left="567"/>
        <w:contextualSpacing/>
        <w:rPr>
          <w:rFonts w:cs="Arial"/>
          <w:b/>
          <w:color w:val="000000"/>
          <w:sz w:val="22"/>
          <w:szCs w:val="22"/>
        </w:rPr>
      </w:pPr>
    </w:p>
    <w:p w14:paraId="203832EC" w14:textId="4481CDDF" w:rsidR="00CB5D85" w:rsidRDefault="00CB2E66">
      <w:r>
        <w:rPr>
          <w:rFonts w:cs="Arial"/>
          <w:color w:val="000000"/>
          <w:sz w:val="22"/>
          <w:szCs w:val="22"/>
        </w:rPr>
        <w:t xml:space="preserve">Where the </w:t>
      </w:r>
      <w:proofErr w:type="spellStart"/>
      <w:r>
        <w:rPr>
          <w:rFonts w:cs="Arial"/>
          <w:color w:val="000000"/>
          <w:sz w:val="22"/>
          <w:szCs w:val="22"/>
        </w:rPr>
        <w:t>ToV</w:t>
      </w:r>
      <w:proofErr w:type="spellEnd"/>
      <w:r>
        <w:rPr>
          <w:rFonts w:cs="Arial"/>
          <w:color w:val="000000"/>
          <w:sz w:val="22"/>
          <w:szCs w:val="22"/>
        </w:rPr>
        <w:t xml:space="preserve"> is a payment, values are reported on the date of the payment i.e. the date the funds are transferred to the recipient's bank account. Payments made in 202</w:t>
      </w:r>
      <w:r w:rsidR="00DC1BDD">
        <w:rPr>
          <w:rFonts w:cs="Arial"/>
          <w:color w:val="000000"/>
          <w:sz w:val="22"/>
          <w:szCs w:val="22"/>
        </w:rPr>
        <w:t>4</w:t>
      </w:r>
      <w:r>
        <w:rPr>
          <w:rFonts w:cs="Arial"/>
          <w:color w:val="000000"/>
          <w:sz w:val="22"/>
          <w:szCs w:val="22"/>
        </w:rPr>
        <w:t xml:space="preserve"> for activities related to 202</w:t>
      </w:r>
      <w:r w:rsidR="00C26353">
        <w:rPr>
          <w:rFonts w:cs="Arial"/>
          <w:color w:val="000000"/>
          <w:sz w:val="22"/>
          <w:szCs w:val="22"/>
        </w:rPr>
        <w:t>3</w:t>
      </w:r>
      <w:r>
        <w:rPr>
          <w:rFonts w:cs="Arial"/>
          <w:color w:val="000000"/>
          <w:sz w:val="22"/>
          <w:szCs w:val="22"/>
        </w:rPr>
        <w:t xml:space="preserve"> are included</w:t>
      </w:r>
      <w:r>
        <w:rPr>
          <w:rFonts w:cs="Arial"/>
          <w:sz w:val="22"/>
          <w:szCs w:val="22"/>
        </w:rPr>
        <w:t>.</w:t>
      </w:r>
    </w:p>
    <w:p w14:paraId="2706463A" w14:textId="77777777" w:rsidR="00CB5D85" w:rsidRDefault="00CB5D85">
      <w:pPr>
        <w:rPr>
          <w:rFonts w:cs="Arial"/>
          <w:sz w:val="22"/>
          <w:szCs w:val="22"/>
        </w:rPr>
      </w:pPr>
    </w:p>
    <w:p w14:paraId="36C0E547" w14:textId="77777777" w:rsidR="00CB5D85" w:rsidRDefault="00CB2E66">
      <w:pPr>
        <w:contextualSpacing/>
        <w:rPr>
          <w:rFonts w:cs="Arial"/>
          <w:sz w:val="22"/>
          <w:szCs w:val="22"/>
        </w:rPr>
      </w:pPr>
      <w:r>
        <w:rPr>
          <w:rFonts w:cs="Arial"/>
          <w:sz w:val="22"/>
          <w:szCs w:val="22"/>
        </w:rPr>
        <w:t xml:space="preserve">Where </w:t>
      </w:r>
      <w:proofErr w:type="spellStart"/>
      <w:r>
        <w:rPr>
          <w:rFonts w:cs="Arial"/>
          <w:sz w:val="22"/>
          <w:szCs w:val="22"/>
        </w:rPr>
        <w:t>ToVs</w:t>
      </w:r>
      <w:proofErr w:type="spellEnd"/>
      <w:r>
        <w:rPr>
          <w:rFonts w:cs="Arial"/>
          <w:sz w:val="22"/>
          <w:szCs w:val="22"/>
        </w:rPr>
        <w:t xml:space="preserve"> relate to multi-year contracts, only the </w:t>
      </w:r>
      <w:proofErr w:type="spellStart"/>
      <w:r>
        <w:rPr>
          <w:rFonts w:cs="Arial"/>
          <w:sz w:val="22"/>
          <w:szCs w:val="22"/>
        </w:rPr>
        <w:t>ToVs</w:t>
      </w:r>
      <w:proofErr w:type="spellEnd"/>
      <w:r>
        <w:rPr>
          <w:rFonts w:cs="Arial"/>
          <w:sz w:val="22"/>
          <w:szCs w:val="22"/>
        </w:rPr>
        <w:t xml:space="preserve"> made in the reporting year are included.</w:t>
      </w:r>
    </w:p>
    <w:p w14:paraId="2128B634" w14:textId="77777777" w:rsidR="00CB5D85" w:rsidRDefault="00CB5D85">
      <w:pPr>
        <w:contextualSpacing/>
        <w:rPr>
          <w:rFonts w:cs="Arial"/>
          <w:color w:val="000000"/>
          <w:sz w:val="22"/>
          <w:szCs w:val="22"/>
        </w:rPr>
      </w:pPr>
    </w:p>
    <w:p w14:paraId="31E2A176" w14:textId="77777777" w:rsidR="00CB5D85" w:rsidRDefault="00CB2E66">
      <w:pPr>
        <w:contextualSpacing/>
        <w:rPr>
          <w:rFonts w:cs="Arial"/>
          <w:color w:val="000000"/>
          <w:sz w:val="22"/>
          <w:szCs w:val="22"/>
        </w:rPr>
      </w:pPr>
      <w:r>
        <w:rPr>
          <w:rFonts w:cs="Arial"/>
          <w:color w:val="000000"/>
          <w:sz w:val="22"/>
          <w:szCs w:val="22"/>
        </w:rPr>
        <w:t xml:space="preserve">Where the </w:t>
      </w:r>
      <w:proofErr w:type="spellStart"/>
      <w:r>
        <w:rPr>
          <w:rFonts w:cs="Arial"/>
          <w:color w:val="000000"/>
          <w:sz w:val="22"/>
          <w:szCs w:val="22"/>
        </w:rPr>
        <w:t>ToV</w:t>
      </w:r>
      <w:proofErr w:type="spellEnd"/>
      <w:r>
        <w:rPr>
          <w:rFonts w:cs="Arial"/>
          <w:color w:val="000000"/>
          <w:sz w:val="22"/>
          <w:szCs w:val="22"/>
        </w:rPr>
        <w:t xml:space="preserve"> is a benefit in kind, values are reported on the date the recipient received the benefit.</w:t>
      </w:r>
    </w:p>
    <w:p w14:paraId="5E590B06" w14:textId="77777777" w:rsidR="00CB5D85" w:rsidRDefault="00CB5D85">
      <w:pPr>
        <w:contextualSpacing/>
        <w:rPr>
          <w:rFonts w:cs="Arial"/>
          <w:color w:val="000000"/>
          <w:sz w:val="22"/>
          <w:szCs w:val="22"/>
        </w:rPr>
      </w:pPr>
    </w:p>
    <w:p w14:paraId="1908D93F" w14:textId="77777777" w:rsidR="00CB5D85" w:rsidRDefault="00CB5D85">
      <w:pPr>
        <w:contextualSpacing/>
        <w:rPr>
          <w:rFonts w:cs="Arial"/>
          <w:color w:val="000000"/>
          <w:sz w:val="22"/>
          <w:szCs w:val="22"/>
        </w:rPr>
      </w:pPr>
    </w:p>
    <w:p w14:paraId="0383073A" w14:textId="77777777" w:rsidR="00CB5D85" w:rsidRDefault="00CB2E66" w:rsidP="00D227BD">
      <w:pPr>
        <w:keepNext/>
        <w:keepLines/>
        <w:numPr>
          <w:ilvl w:val="1"/>
          <w:numId w:val="13"/>
        </w:numPr>
        <w:suppressAutoHyphens w:val="0"/>
        <w:autoSpaceDN/>
        <w:spacing w:before="40"/>
        <w:ind w:left="851" w:hanging="425"/>
        <w:outlineLvl w:val="1"/>
        <w:rPr>
          <w:rFonts w:cs="Arial"/>
          <w:b/>
          <w:sz w:val="22"/>
          <w:szCs w:val="22"/>
        </w:rPr>
      </w:pPr>
      <w:bookmarkStart w:id="42" w:name="_Toc446350384"/>
      <w:bookmarkStart w:id="43" w:name="_Toc196297207"/>
      <w:r>
        <w:rPr>
          <w:rFonts w:cs="Arial"/>
          <w:b/>
          <w:sz w:val="22"/>
          <w:szCs w:val="22"/>
        </w:rPr>
        <w:t xml:space="preserve">Direct </w:t>
      </w:r>
      <w:proofErr w:type="spellStart"/>
      <w:r>
        <w:rPr>
          <w:rFonts w:cs="Arial"/>
          <w:b/>
          <w:sz w:val="22"/>
          <w:szCs w:val="22"/>
        </w:rPr>
        <w:t>ToVs</w:t>
      </w:r>
      <w:bookmarkEnd w:id="42"/>
      <w:bookmarkEnd w:id="43"/>
      <w:proofErr w:type="spellEnd"/>
    </w:p>
    <w:p w14:paraId="54B8FE88" w14:textId="77777777" w:rsidR="00CB5D85" w:rsidRDefault="00CB5D85">
      <w:pPr>
        <w:contextualSpacing/>
        <w:rPr>
          <w:rFonts w:cs="Arial"/>
          <w:color w:val="000000"/>
          <w:sz w:val="22"/>
          <w:szCs w:val="22"/>
        </w:rPr>
      </w:pPr>
    </w:p>
    <w:p w14:paraId="580985AA" w14:textId="77777777" w:rsidR="00CB5D85" w:rsidRDefault="00CB2E66">
      <w:pPr>
        <w:contextualSpacing/>
        <w:rPr>
          <w:rFonts w:cs="Arial"/>
          <w:color w:val="000000"/>
          <w:sz w:val="22"/>
          <w:szCs w:val="22"/>
        </w:rPr>
      </w:pPr>
      <w:r>
        <w:rPr>
          <w:rFonts w:cs="Arial"/>
          <w:color w:val="000000"/>
          <w:sz w:val="22"/>
          <w:szCs w:val="22"/>
        </w:rPr>
        <w:t xml:space="preserve">The natural or legal person that holds the bank account on which the money is transferred is considered the recipient of the </w:t>
      </w:r>
      <w:proofErr w:type="spellStart"/>
      <w:r>
        <w:rPr>
          <w:rFonts w:cs="Arial"/>
          <w:color w:val="000000"/>
          <w:sz w:val="22"/>
          <w:szCs w:val="22"/>
        </w:rPr>
        <w:t>ToV</w:t>
      </w:r>
      <w:proofErr w:type="spellEnd"/>
      <w:r>
        <w:rPr>
          <w:rFonts w:cs="Arial"/>
          <w:color w:val="000000"/>
          <w:sz w:val="22"/>
          <w:szCs w:val="22"/>
        </w:rPr>
        <w:t xml:space="preserve"> and will be disclosed. </w:t>
      </w:r>
    </w:p>
    <w:p w14:paraId="0059B7EF" w14:textId="77777777" w:rsidR="00CB5D85" w:rsidRDefault="00CB5D85">
      <w:pPr>
        <w:contextualSpacing/>
        <w:rPr>
          <w:rFonts w:cs="Arial"/>
          <w:color w:val="000000"/>
          <w:sz w:val="22"/>
          <w:szCs w:val="22"/>
        </w:rPr>
      </w:pPr>
    </w:p>
    <w:p w14:paraId="0CF1F1E4" w14:textId="77777777" w:rsidR="00CB5D85" w:rsidRDefault="00CB2E66">
      <w:pPr>
        <w:contextualSpacing/>
        <w:rPr>
          <w:rFonts w:cs="Arial"/>
          <w:color w:val="000000"/>
          <w:sz w:val="22"/>
          <w:szCs w:val="22"/>
        </w:rPr>
      </w:pPr>
      <w:r>
        <w:rPr>
          <w:rFonts w:cs="Arial"/>
          <w:color w:val="000000"/>
          <w:sz w:val="22"/>
          <w:szCs w:val="22"/>
        </w:rPr>
        <w:t xml:space="preserve">Direct </w:t>
      </w:r>
      <w:proofErr w:type="spellStart"/>
      <w:r>
        <w:rPr>
          <w:rFonts w:cs="Arial"/>
          <w:color w:val="000000"/>
          <w:sz w:val="22"/>
          <w:szCs w:val="22"/>
        </w:rPr>
        <w:t>ToVs</w:t>
      </w:r>
      <w:proofErr w:type="spellEnd"/>
      <w:r>
        <w:rPr>
          <w:rFonts w:cs="Arial"/>
          <w:color w:val="000000"/>
          <w:sz w:val="22"/>
          <w:szCs w:val="22"/>
        </w:rPr>
        <w:t xml:space="preserve"> are captured in SAP and flow into AZ transparency reporting system based on their vendor code, General Ledger code and activity code.  They are then mapped to the appropriate activity category in line with local association guidelines for reporting.  In the case of direct </w:t>
      </w:r>
      <w:proofErr w:type="spellStart"/>
      <w:r>
        <w:rPr>
          <w:rFonts w:cs="Arial"/>
          <w:color w:val="000000"/>
          <w:sz w:val="22"/>
          <w:szCs w:val="22"/>
        </w:rPr>
        <w:t>ToV</w:t>
      </w:r>
      <w:proofErr w:type="spellEnd"/>
      <w:r>
        <w:rPr>
          <w:rFonts w:cs="Arial"/>
          <w:color w:val="000000"/>
          <w:sz w:val="22"/>
          <w:szCs w:val="22"/>
        </w:rPr>
        <w:t xml:space="preserve"> transactions that are made outside of the EFPIA member countries, these are uploaded to the transparency system via a manual template (based on actual payment data in another SAP system). </w:t>
      </w:r>
    </w:p>
    <w:p w14:paraId="38D975CC" w14:textId="77777777" w:rsidR="00CB5D85" w:rsidRDefault="00CB5D85">
      <w:pPr>
        <w:contextualSpacing/>
        <w:rPr>
          <w:rFonts w:cs="Arial"/>
          <w:color w:val="000000"/>
          <w:sz w:val="22"/>
          <w:szCs w:val="22"/>
        </w:rPr>
      </w:pPr>
    </w:p>
    <w:p w14:paraId="0988DD48" w14:textId="77777777" w:rsidR="00CB5D85" w:rsidRDefault="00CB5D85">
      <w:pPr>
        <w:contextualSpacing/>
        <w:rPr>
          <w:rFonts w:cs="Arial"/>
          <w:color w:val="000000"/>
          <w:sz w:val="22"/>
          <w:szCs w:val="22"/>
        </w:rPr>
      </w:pPr>
    </w:p>
    <w:p w14:paraId="629DD6F7" w14:textId="77777777" w:rsidR="00CB5D85" w:rsidRDefault="00CB2E66" w:rsidP="00D227BD">
      <w:pPr>
        <w:keepNext/>
        <w:keepLines/>
        <w:numPr>
          <w:ilvl w:val="1"/>
          <w:numId w:val="13"/>
        </w:numPr>
        <w:suppressAutoHyphens w:val="0"/>
        <w:autoSpaceDN/>
        <w:spacing w:before="40"/>
        <w:ind w:left="851" w:hanging="425"/>
        <w:outlineLvl w:val="1"/>
        <w:rPr>
          <w:rFonts w:cs="Arial"/>
          <w:b/>
          <w:sz w:val="22"/>
          <w:szCs w:val="22"/>
        </w:rPr>
      </w:pPr>
      <w:bookmarkStart w:id="44" w:name="_Toc446350385"/>
      <w:bookmarkStart w:id="45" w:name="_Toc196297208"/>
      <w:r>
        <w:rPr>
          <w:rFonts w:cs="Arial"/>
          <w:b/>
          <w:sz w:val="22"/>
          <w:szCs w:val="22"/>
        </w:rPr>
        <w:t xml:space="preserve">Indirect </w:t>
      </w:r>
      <w:proofErr w:type="spellStart"/>
      <w:r>
        <w:rPr>
          <w:rFonts w:cs="Arial"/>
          <w:b/>
          <w:sz w:val="22"/>
          <w:szCs w:val="22"/>
        </w:rPr>
        <w:t>ToVs</w:t>
      </w:r>
      <w:bookmarkEnd w:id="44"/>
      <w:bookmarkEnd w:id="45"/>
      <w:proofErr w:type="spellEnd"/>
    </w:p>
    <w:p w14:paraId="5C4CAA54" w14:textId="77777777" w:rsidR="00CB5D85" w:rsidRDefault="00CB5D85">
      <w:pPr>
        <w:ind w:left="207"/>
        <w:rPr>
          <w:rFonts w:cs="Arial"/>
          <w:color w:val="000000"/>
          <w:sz w:val="22"/>
          <w:szCs w:val="22"/>
        </w:rPr>
      </w:pPr>
    </w:p>
    <w:p w14:paraId="042F483D"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46" w:name="_Toc446350386"/>
      <w:bookmarkStart w:id="47" w:name="_Toc196297209"/>
      <w:r>
        <w:rPr>
          <w:rFonts w:cs="Arial"/>
          <w:sz w:val="22"/>
          <w:szCs w:val="22"/>
          <w:u w:val="single"/>
        </w:rPr>
        <w:t xml:space="preserve">Indirect </w:t>
      </w:r>
      <w:proofErr w:type="spellStart"/>
      <w:r>
        <w:rPr>
          <w:rFonts w:cs="Arial"/>
          <w:sz w:val="22"/>
          <w:szCs w:val="22"/>
          <w:u w:val="single"/>
        </w:rPr>
        <w:t>ToVs</w:t>
      </w:r>
      <w:proofErr w:type="spellEnd"/>
      <w:r>
        <w:rPr>
          <w:rFonts w:cs="Arial"/>
          <w:sz w:val="22"/>
          <w:szCs w:val="22"/>
          <w:u w:val="single"/>
        </w:rPr>
        <w:t xml:space="preserve"> through CROs</w:t>
      </w:r>
      <w:bookmarkEnd w:id="46"/>
      <w:bookmarkEnd w:id="47"/>
    </w:p>
    <w:p w14:paraId="24F2F8F8" w14:textId="77777777" w:rsidR="00CB5D85" w:rsidRDefault="00CB5D85">
      <w:pPr>
        <w:contextualSpacing/>
        <w:rPr>
          <w:rFonts w:cs="Arial"/>
          <w:color w:val="000000"/>
          <w:sz w:val="22"/>
          <w:szCs w:val="22"/>
        </w:rPr>
      </w:pPr>
    </w:p>
    <w:p w14:paraId="18460D66" w14:textId="77777777" w:rsidR="00CB5D85" w:rsidRDefault="00CB2E66">
      <w:pPr>
        <w:contextualSpacing/>
        <w:rPr>
          <w:rFonts w:cs="Arial"/>
          <w:color w:val="000000"/>
          <w:sz w:val="22"/>
          <w:szCs w:val="22"/>
        </w:rPr>
      </w:pPr>
      <w:r>
        <w:rPr>
          <w:rFonts w:cs="Arial"/>
          <w:color w:val="000000"/>
          <w:sz w:val="22"/>
          <w:szCs w:val="22"/>
        </w:rPr>
        <w:t xml:space="preserve">Where a Clinical Research Organization acts on behalf of AZ to make </w:t>
      </w:r>
      <w:proofErr w:type="spellStart"/>
      <w:r>
        <w:rPr>
          <w:rFonts w:cs="Arial"/>
          <w:color w:val="000000"/>
          <w:sz w:val="22"/>
          <w:szCs w:val="22"/>
        </w:rPr>
        <w:t>ToVs</w:t>
      </w:r>
      <w:proofErr w:type="spellEnd"/>
      <w:r>
        <w:rPr>
          <w:rFonts w:cs="Arial"/>
          <w:color w:val="000000"/>
          <w:sz w:val="22"/>
          <w:szCs w:val="22"/>
        </w:rPr>
        <w:t xml:space="preserve"> to HCPs/HCOs, these are within the scope of the Disclosure and are reported at an aggregate level under R&amp;D </w:t>
      </w:r>
      <w:proofErr w:type="gramStart"/>
      <w:r>
        <w:rPr>
          <w:rFonts w:cs="Arial"/>
          <w:color w:val="000000"/>
          <w:sz w:val="22"/>
          <w:szCs w:val="22"/>
        </w:rPr>
        <w:t>as long as</w:t>
      </w:r>
      <w:proofErr w:type="gramEnd"/>
      <w:r>
        <w:rPr>
          <w:rFonts w:cs="Arial"/>
          <w:color w:val="000000"/>
          <w:sz w:val="22"/>
          <w:szCs w:val="22"/>
        </w:rPr>
        <w:t xml:space="preserve"> their activities fall within the scope of the definition of R&amp;D activities.</w:t>
      </w:r>
    </w:p>
    <w:p w14:paraId="527CCA96" w14:textId="77777777" w:rsidR="00CB5D85" w:rsidRDefault="00CB5D85">
      <w:pPr>
        <w:ind w:left="207"/>
        <w:rPr>
          <w:rFonts w:cs="Arial"/>
          <w:color w:val="000000"/>
          <w:sz w:val="22"/>
          <w:szCs w:val="22"/>
        </w:rPr>
      </w:pPr>
    </w:p>
    <w:p w14:paraId="1874AFBE"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48" w:name="_Toc446350387"/>
      <w:bookmarkStart w:id="49" w:name="_Toc196297210"/>
      <w:r>
        <w:rPr>
          <w:rFonts w:cs="Arial"/>
          <w:sz w:val="22"/>
          <w:szCs w:val="22"/>
          <w:u w:val="single"/>
        </w:rPr>
        <w:t xml:space="preserve">Indirect </w:t>
      </w:r>
      <w:proofErr w:type="spellStart"/>
      <w:r>
        <w:rPr>
          <w:rFonts w:cs="Arial"/>
          <w:sz w:val="22"/>
          <w:szCs w:val="22"/>
          <w:u w:val="single"/>
        </w:rPr>
        <w:t>ToVs</w:t>
      </w:r>
      <w:proofErr w:type="spellEnd"/>
      <w:r>
        <w:rPr>
          <w:rFonts w:cs="Arial"/>
          <w:sz w:val="22"/>
          <w:szCs w:val="22"/>
          <w:u w:val="single"/>
        </w:rPr>
        <w:t xml:space="preserve"> through other third parties</w:t>
      </w:r>
      <w:bookmarkEnd w:id="48"/>
      <w:bookmarkEnd w:id="49"/>
      <w:r>
        <w:rPr>
          <w:rFonts w:cs="Arial"/>
          <w:sz w:val="22"/>
          <w:szCs w:val="22"/>
          <w:u w:val="single"/>
        </w:rPr>
        <w:t xml:space="preserve"> </w:t>
      </w:r>
    </w:p>
    <w:p w14:paraId="4F86B7EE" w14:textId="77777777" w:rsidR="00CB5D85" w:rsidRDefault="00CB5D85">
      <w:pPr>
        <w:rPr>
          <w:rFonts w:cs="Arial"/>
          <w:sz w:val="22"/>
          <w:szCs w:val="22"/>
        </w:rPr>
      </w:pPr>
    </w:p>
    <w:p w14:paraId="7E4B103B" w14:textId="77777777" w:rsidR="00CB5D85" w:rsidRDefault="00CB2E66">
      <w:pPr>
        <w:contextualSpacing/>
        <w:rPr>
          <w:rFonts w:cs="Arial"/>
          <w:color w:val="000000"/>
          <w:sz w:val="22"/>
          <w:szCs w:val="22"/>
        </w:rPr>
      </w:pPr>
      <w:r>
        <w:rPr>
          <w:rFonts w:cs="Arial"/>
          <w:color w:val="000000"/>
          <w:sz w:val="22"/>
          <w:szCs w:val="22"/>
        </w:rPr>
        <w:t xml:space="preserve">Where third parties are appointed by an HCO to manage an event, and where the HCO ultimately benefits from that </w:t>
      </w:r>
      <w:proofErr w:type="spellStart"/>
      <w:r>
        <w:rPr>
          <w:rFonts w:cs="Arial"/>
          <w:color w:val="000000"/>
          <w:sz w:val="22"/>
          <w:szCs w:val="22"/>
        </w:rPr>
        <w:t>ToV</w:t>
      </w:r>
      <w:proofErr w:type="spellEnd"/>
      <w:r>
        <w:rPr>
          <w:rFonts w:cs="Arial"/>
          <w:color w:val="000000"/>
          <w:sz w:val="22"/>
          <w:szCs w:val="22"/>
        </w:rPr>
        <w:t xml:space="preserve">, these </w:t>
      </w:r>
      <w:proofErr w:type="spellStart"/>
      <w:r>
        <w:rPr>
          <w:rFonts w:cs="Arial"/>
          <w:color w:val="000000"/>
          <w:sz w:val="22"/>
          <w:szCs w:val="22"/>
        </w:rPr>
        <w:t>ToVs</w:t>
      </w:r>
      <w:proofErr w:type="spellEnd"/>
      <w:r>
        <w:rPr>
          <w:rFonts w:cs="Arial"/>
          <w:color w:val="000000"/>
          <w:sz w:val="22"/>
          <w:szCs w:val="22"/>
        </w:rPr>
        <w:t xml:space="preserve"> are disclosed against the HCO. Where an event is organized on behalf of multiple HCOs without clarity on allocation, the value is divided equally between the HCOs.</w:t>
      </w:r>
    </w:p>
    <w:p w14:paraId="20BAA16B" w14:textId="77777777" w:rsidR="00CB5D85" w:rsidRDefault="00CB5D85">
      <w:pPr>
        <w:contextualSpacing/>
        <w:rPr>
          <w:rFonts w:cs="Arial"/>
          <w:color w:val="000000"/>
          <w:sz w:val="22"/>
          <w:szCs w:val="22"/>
        </w:rPr>
      </w:pPr>
    </w:p>
    <w:p w14:paraId="32CF549F" w14:textId="77777777" w:rsidR="00CB5D85" w:rsidRDefault="00CB2E66">
      <w:pPr>
        <w:contextualSpacing/>
        <w:rPr>
          <w:rFonts w:cs="Arial"/>
          <w:color w:val="000000"/>
          <w:sz w:val="22"/>
          <w:szCs w:val="22"/>
        </w:rPr>
      </w:pPr>
      <w:r>
        <w:rPr>
          <w:rFonts w:cs="Arial"/>
          <w:color w:val="000000"/>
          <w:sz w:val="22"/>
          <w:szCs w:val="22"/>
        </w:rPr>
        <w:t xml:space="preserve">Where third parties are appointed by AZ to make travel and accommodation arrangements for HCPs who are providing services or are supported to attend events, these </w:t>
      </w:r>
      <w:proofErr w:type="spellStart"/>
      <w:r>
        <w:rPr>
          <w:rFonts w:cs="Arial"/>
          <w:color w:val="000000"/>
          <w:sz w:val="22"/>
          <w:szCs w:val="22"/>
        </w:rPr>
        <w:t>ToVs</w:t>
      </w:r>
      <w:proofErr w:type="spellEnd"/>
      <w:r>
        <w:rPr>
          <w:rFonts w:cs="Arial"/>
          <w:color w:val="000000"/>
          <w:sz w:val="22"/>
          <w:szCs w:val="22"/>
        </w:rPr>
        <w:t xml:space="preserve"> are disclosed against the HCP. </w:t>
      </w:r>
    </w:p>
    <w:p w14:paraId="56EE2DEE" w14:textId="77777777" w:rsidR="00CB5D85" w:rsidRDefault="00CB5D85">
      <w:pPr>
        <w:contextualSpacing/>
        <w:rPr>
          <w:rFonts w:cs="Arial"/>
          <w:color w:val="000000"/>
          <w:sz w:val="22"/>
          <w:szCs w:val="22"/>
        </w:rPr>
      </w:pPr>
    </w:p>
    <w:p w14:paraId="0A64D8F5" w14:textId="77777777" w:rsidR="00CB5D85" w:rsidRDefault="00CB2E66">
      <w:pPr>
        <w:contextualSpacing/>
        <w:rPr>
          <w:rFonts w:cs="Arial"/>
          <w:color w:val="000000"/>
          <w:sz w:val="22"/>
          <w:szCs w:val="22"/>
        </w:rPr>
      </w:pPr>
      <w:r>
        <w:rPr>
          <w:rFonts w:cs="Arial"/>
          <w:color w:val="000000"/>
          <w:sz w:val="22"/>
          <w:szCs w:val="22"/>
        </w:rPr>
        <w:t xml:space="preserve">Any additional administration fees charged by agencies are not included, as these are not </w:t>
      </w:r>
      <w:proofErr w:type="spellStart"/>
      <w:r>
        <w:rPr>
          <w:rFonts w:cs="Arial"/>
          <w:color w:val="000000"/>
          <w:sz w:val="22"/>
          <w:szCs w:val="22"/>
        </w:rPr>
        <w:t>ToVs</w:t>
      </w:r>
      <w:proofErr w:type="spellEnd"/>
      <w:r>
        <w:rPr>
          <w:rFonts w:cs="Arial"/>
          <w:color w:val="000000"/>
          <w:sz w:val="22"/>
          <w:szCs w:val="22"/>
        </w:rPr>
        <w:t xml:space="preserve"> to HCPs or HCOs.  </w:t>
      </w:r>
    </w:p>
    <w:p w14:paraId="59E3EC25" w14:textId="77777777" w:rsidR="00CB5D85" w:rsidRDefault="00CB5D85">
      <w:pPr>
        <w:ind w:left="207"/>
        <w:rPr>
          <w:rFonts w:cs="Arial"/>
          <w:color w:val="000000"/>
          <w:sz w:val="22"/>
          <w:szCs w:val="22"/>
        </w:rPr>
      </w:pPr>
    </w:p>
    <w:p w14:paraId="17E729AD"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50" w:name="_Toc446350388"/>
      <w:bookmarkStart w:id="51" w:name="_Toc196297211"/>
      <w:r>
        <w:rPr>
          <w:rFonts w:cs="Arial"/>
          <w:sz w:val="22"/>
          <w:szCs w:val="22"/>
          <w:u w:val="single"/>
        </w:rPr>
        <w:t xml:space="preserve">Indirect </w:t>
      </w:r>
      <w:proofErr w:type="spellStart"/>
      <w:r>
        <w:rPr>
          <w:rFonts w:cs="Arial"/>
          <w:sz w:val="22"/>
          <w:szCs w:val="22"/>
          <w:u w:val="single"/>
        </w:rPr>
        <w:t>ToVs</w:t>
      </w:r>
      <w:proofErr w:type="spellEnd"/>
      <w:r>
        <w:rPr>
          <w:rFonts w:cs="Arial"/>
          <w:sz w:val="22"/>
          <w:szCs w:val="22"/>
          <w:u w:val="single"/>
        </w:rPr>
        <w:t xml:space="preserve"> through HCOs</w:t>
      </w:r>
      <w:bookmarkEnd w:id="50"/>
      <w:bookmarkEnd w:id="51"/>
    </w:p>
    <w:p w14:paraId="1A368A59" w14:textId="77777777" w:rsidR="00CB5D85" w:rsidRDefault="00CB5D85">
      <w:pPr>
        <w:rPr>
          <w:rFonts w:cs="Arial"/>
          <w:sz w:val="22"/>
          <w:szCs w:val="22"/>
        </w:rPr>
      </w:pPr>
    </w:p>
    <w:p w14:paraId="39662A29" w14:textId="77777777" w:rsidR="00CB5D85" w:rsidRDefault="00CB2E66">
      <w:pPr>
        <w:contextualSpacing/>
        <w:rPr>
          <w:rFonts w:cs="Arial"/>
          <w:color w:val="000000"/>
          <w:sz w:val="22"/>
          <w:szCs w:val="22"/>
        </w:rPr>
      </w:pPr>
      <w:r>
        <w:rPr>
          <w:rFonts w:cs="Arial"/>
          <w:color w:val="000000"/>
          <w:sz w:val="22"/>
          <w:szCs w:val="22"/>
        </w:rPr>
        <w:t xml:space="preserve">Where </w:t>
      </w:r>
      <w:proofErr w:type="spellStart"/>
      <w:r>
        <w:rPr>
          <w:rFonts w:cs="Arial"/>
          <w:color w:val="000000"/>
          <w:sz w:val="22"/>
          <w:szCs w:val="22"/>
        </w:rPr>
        <w:t>ToVs</w:t>
      </w:r>
      <w:proofErr w:type="spellEnd"/>
      <w:r>
        <w:rPr>
          <w:rFonts w:cs="Arial"/>
          <w:color w:val="000000"/>
          <w:sz w:val="22"/>
          <w:szCs w:val="22"/>
        </w:rPr>
        <w:t xml:space="preserve"> are made to an individual HCP indirectly via an HCO will be disclosed against the HCP in line with local association guidelines. </w:t>
      </w:r>
    </w:p>
    <w:p w14:paraId="1F6C38B8" w14:textId="77777777" w:rsidR="00CB5D85" w:rsidRDefault="00CB5D85">
      <w:pPr>
        <w:contextualSpacing/>
        <w:rPr>
          <w:rFonts w:cs="Arial"/>
          <w:color w:val="000000"/>
          <w:sz w:val="22"/>
          <w:szCs w:val="22"/>
        </w:rPr>
      </w:pPr>
    </w:p>
    <w:p w14:paraId="15C8ABCF" w14:textId="77777777" w:rsidR="00CB5D85" w:rsidRDefault="00CB5D85">
      <w:pPr>
        <w:ind w:left="207"/>
        <w:rPr>
          <w:rFonts w:cs="Arial"/>
          <w:color w:val="000000"/>
          <w:sz w:val="22"/>
          <w:szCs w:val="22"/>
        </w:rPr>
      </w:pPr>
    </w:p>
    <w:p w14:paraId="4E73EA2F" w14:textId="77777777" w:rsidR="00CB5D85" w:rsidRDefault="00CB2E66" w:rsidP="00D227BD">
      <w:pPr>
        <w:keepNext/>
        <w:keepLines/>
        <w:numPr>
          <w:ilvl w:val="1"/>
          <w:numId w:val="13"/>
        </w:numPr>
        <w:suppressAutoHyphens w:val="0"/>
        <w:autoSpaceDN/>
        <w:spacing w:before="40"/>
        <w:ind w:left="851" w:hanging="425"/>
        <w:outlineLvl w:val="1"/>
        <w:rPr>
          <w:rFonts w:cs="Arial"/>
          <w:b/>
          <w:sz w:val="22"/>
          <w:szCs w:val="22"/>
        </w:rPr>
      </w:pPr>
      <w:bookmarkStart w:id="52" w:name="_Toc446350389"/>
      <w:bookmarkStart w:id="53" w:name="_Toc196297212"/>
      <w:proofErr w:type="spellStart"/>
      <w:r>
        <w:rPr>
          <w:rFonts w:cs="Arial"/>
          <w:b/>
          <w:sz w:val="22"/>
          <w:szCs w:val="22"/>
        </w:rPr>
        <w:t>ToVs</w:t>
      </w:r>
      <w:proofErr w:type="spellEnd"/>
      <w:r>
        <w:rPr>
          <w:rFonts w:cs="Arial"/>
          <w:b/>
          <w:sz w:val="22"/>
          <w:szCs w:val="22"/>
        </w:rPr>
        <w:t xml:space="preserve"> in case of partial attendances or cancellation</w:t>
      </w:r>
      <w:bookmarkEnd w:id="52"/>
      <w:bookmarkEnd w:id="53"/>
    </w:p>
    <w:p w14:paraId="4FEBD993" w14:textId="77777777" w:rsidR="00CB5D85" w:rsidRDefault="00CB5D85">
      <w:pPr>
        <w:ind w:left="207"/>
        <w:rPr>
          <w:rFonts w:cs="Arial"/>
          <w:color w:val="000000"/>
          <w:sz w:val="22"/>
          <w:szCs w:val="22"/>
        </w:rPr>
      </w:pPr>
    </w:p>
    <w:p w14:paraId="2606C7B4" w14:textId="77777777" w:rsidR="00CB5D85" w:rsidRDefault="00CB2E66">
      <w:pPr>
        <w:rPr>
          <w:rFonts w:cs="Arial"/>
          <w:color w:val="000000"/>
          <w:sz w:val="22"/>
          <w:szCs w:val="22"/>
        </w:rPr>
      </w:pPr>
      <w:r>
        <w:rPr>
          <w:rFonts w:cs="Arial"/>
          <w:color w:val="000000"/>
          <w:sz w:val="22"/>
          <w:szCs w:val="22"/>
        </w:rPr>
        <w:t xml:space="preserve">Where an HCP/HCO does not receive the benefit due to a no show or a cancellation of event, the associated costs are not reported, such as the cost of cancelling a hotel booking or accommodation. In case of partial attendance, only the benefits </w:t>
      </w:r>
      <w:proofErr w:type="gramStart"/>
      <w:r>
        <w:rPr>
          <w:rFonts w:cs="Arial"/>
          <w:color w:val="000000"/>
          <w:sz w:val="22"/>
          <w:szCs w:val="22"/>
        </w:rPr>
        <w:t>actually received</w:t>
      </w:r>
      <w:proofErr w:type="gramEnd"/>
      <w:r>
        <w:rPr>
          <w:rFonts w:cs="Arial"/>
          <w:color w:val="000000"/>
          <w:sz w:val="22"/>
          <w:szCs w:val="22"/>
        </w:rPr>
        <w:t xml:space="preserve"> are reported.   </w:t>
      </w:r>
    </w:p>
    <w:p w14:paraId="6D27FC0F" w14:textId="77777777" w:rsidR="00CB5D85" w:rsidRDefault="00CB5D85">
      <w:pPr>
        <w:contextualSpacing/>
        <w:rPr>
          <w:rFonts w:cs="Arial"/>
          <w:color w:val="000000"/>
          <w:sz w:val="22"/>
          <w:szCs w:val="22"/>
        </w:rPr>
      </w:pPr>
    </w:p>
    <w:p w14:paraId="31FDCA14" w14:textId="77777777" w:rsidR="00CB5D85" w:rsidRDefault="00CB2E66">
      <w:pPr>
        <w:contextualSpacing/>
        <w:rPr>
          <w:rFonts w:cs="Arial"/>
          <w:color w:val="000000"/>
          <w:sz w:val="22"/>
          <w:szCs w:val="22"/>
        </w:rPr>
      </w:pPr>
      <w:r>
        <w:rPr>
          <w:rFonts w:cs="Arial"/>
          <w:color w:val="000000"/>
          <w:sz w:val="22"/>
          <w:szCs w:val="22"/>
        </w:rPr>
        <w:t xml:space="preserve">Where AZ </w:t>
      </w:r>
      <w:proofErr w:type="gramStart"/>
      <w:r>
        <w:rPr>
          <w:rFonts w:cs="Arial"/>
          <w:color w:val="000000"/>
          <w:sz w:val="22"/>
          <w:szCs w:val="22"/>
        </w:rPr>
        <w:t>has to</w:t>
      </w:r>
      <w:proofErr w:type="gramEnd"/>
      <w:r>
        <w:rPr>
          <w:rFonts w:cs="Arial"/>
          <w:color w:val="000000"/>
          <w:sz w:val="22"/>
          <w:szCs w:val="22"/>
        </w:rPr>
        <w:t xml:space="preserve"> pay cancellation fees to HCP/HCOs as per service contracts, due to cancellation of initiatives or events, these payments are reported.</w:t>
      </w:r>
    </w:p>
    <w:p w14:paraId="703E3A34" w14:textId="77777777" w:rsidR="00CB5D85" w:rsidRDefault="00CB5D85">
      <w:pPr>
        <w:contextualSpacing/>
        <w:rPr>
          <w:rFonts w:cs="Arial"/>
          <w:color w:val="000000"/>
          <w:sz w:val="22"/>
          <w:szCs w:val="22"/>
        </w:rPr>
      </w:pPr>
    </w:p>
    <w:p w14:paraId="1E4BCE09" w14:textId="77777777" w:rsidR="00CB5D85" w:rsidRDefault="00CB5D85">
      <w:pPr>
        <w:contextualSpacing/>
        <w:rPr>
          <w:rFonts w:cs="Arial"/>
          <w:color w:val="000000"/>
          <w:sz w:val="22"/>
          <w:szCs w:val="22"/>
        </w:rPr>
      </w:pPr>
    </w:p>
    <w:p w14:paraId="5D2BED89" w14:textId="77777777" w:rsidR="00CB5D85" w:rsidRDefault="00CB2E66" w:rsidP="00D227BD">
      <w:pPr>
        <w:keepNext/>
        <w:keepLines/>
        <w:numPr>
          <w:ilvl w:val="1"/>
          <w:numId w:val="13"/>
        </w:numPr>
        <w:suppressAutoHyphens w:val="0"/>
        <w:autoSpaceDN/>
        <w:spacing w:before="40"/>
        <w:ind w:left="851" w:hanging="425"/>
        <w:outlineLvl w:val="1"/>
        <w:rPr>
          <w:rFonts w:cs="Arial"/>
          <w:b/>
          <w:sz w:val="22"/>
          <w:szCs w:val="22"/>
        </w:rPr>
      </w:pPr>
      <w:bookmarkStart w:id="54" w:name="_Toc446350390"/>
      <w:bookmarkStart w:id="55" w:name="_Toc196297213"/>
      <w:r>
        <w:rPr>
          <w:rFonts w:cs="Arial"/>
          <w:b/>
          <w:sz w:val="22"/>
          <w:szCs w:val="22"/>
        </w:rPr>
        <w:t>Cross-border activities</w:t>
      </w:r>
      <w:bookmarkEnd w:id="54"/>
      <w:bookmarkEnd w:id="55"/>
    </w:p>
    <w:p w14:paraId="7944786F" w14:textId="77777777" w:rsidR="00CB5D85" w:rsidRDefault="00CB5D85">
      <w:pPr>
        <w:ind w:left="567"/>
        <w:contextualSpacing/>
        <w:rPr>
          <w:rFonts w:cs="Arial"/>
          <w:b/>
          <w:color w:val="000000"/>
          <w:sz w:val="22"/>
          <w:szCs w:val="22"/>
        </w:rPr>
      </w:pPr>
    </w:p>
    <w:p w14:paraId="52CD2818" w14:textId="77777777" w:rsidR="00CB5D85" w:rsidRDefault="00CB2E66" w:rsidP="00D227BD">
      <w:pPr>
        <w:keepNext/>
        <w:keepLines/>
        <w:numPr>
          <w:ilvl w:val="2"/>
          <w:numId w:val="13"/>
        </w:numPr>
        <w:suppressAutoHyphens w:val="0"/>
        <w:autoSpaceDN/>
        <w:spacing w:before="40"/>
        <w:ind w:left="1418"/>
        <w:outlineLvl w:val="2"/>
        <w:rPr>
          <w:rFonts w:cs="Arial"/>
          <w:sz w:val="22"/>
          <w:szCs w:val="22"/>
          <w:u w:val="single"/>
        </w:rPr>
      </w:pPr>
      <w:bookmarkStart w:id="56" w:name="_Toc446350391"/>
      <w:bookmarkStart w:id="57" w:name="_Toc196297214"/>
      <w:r>
        <w:rPr>
          <w:rFonts w:cs="Arial"/>
          <w:sz w:val="22"/>
          <w:szCs w:val="22"/>
          <w:u w:val="single"/>
        </w:rPr>
        <w:t>Cross-border activities</w:t>
      </w:r>
      <w:bookmarkEnd w:id="56"/>
      <w:bookmarkEnd w:id="57"/>
    </w:p>
    <w:p w14:paraId="2387FE9B" w14:textId="77777777" w:rsidR="00CB5D85" w:rsidRDefault="00CB5D85">
      <w:pPr>
        <w:ind w:left="709"/>
        <w:contextualSpacing/>
        <w:rPr>
          <w:rFonts w:cs="Arial"/>
          <w:b/>
          <w:color w:val="000000"/>
          <w:sz w:val="22"/>
          <w:szCs w:val="22"/>
        </w:rPr>
      </w:pPr>
    </w:p>
    <w:p w14:paraId="333F4AA3" w14:textId="77777777" w:rsidR="00CB5D85" w:rsidRDefault="00CB2E66">
      <w:pPr>
        <w:contextualSpacing/>
        <w:rPr>
          <w:rFonts w:cs="Arial"/>
          <w:color w:val="000000"/>
          <w:sz w:val="22"/>
          <w:szCs w:val="22"/>
        </w:rPr>
      </w:pPr>
      <w:r>
        <w:rPr>
          <w:rFonts w:cs="Arial"/>
          <w:color w:val="000000"/>
          <w:sz w:val="22"/>
          <w:szCs w:val="22"/>
        </w:rPr>
        <w:t xml:space="preserve">AZ makes their best efforts to capture and report all </w:t>
      </w:r>
      <w:proofErr w:type="spellStart"/>
      <w:r>
        <w:rPr>
          <w:rFonts w:cs="Arial"/>
          <w:color w:val="000000"/>
          <w:sz w:val="22"/>
          <w:szCs w:val="22"/>
        </w:rPr>
        <w:t>ToVs</w:t>
      </w:r>
      <w:proofErr w:type="spellEnd"/>
      <w:r>
        <w:rPr>
          <w:rFonts w:cs="Arial"/>
          <w:color w:val="000000"/>
          <w:sz w:val="22"/>
          <w:szCs w:val="22"/>
        </w:rPr>
        <w:t xml:space="preserve"> to HCPs and HCOs with their primary practice in a country with EFPIA Disclosure Code and/or other cross border transparency reporting requirements and has introduced a group wide reporting requirement for that purpose. The country of disclosure will be determined by the address of principal practice for HCPs and the address of registration for an HCO.</w:t>
      </w:r>
    </w:p>
    <w:p w14:paraId="1E1F3040" w14:textId="77777777" w:rsidR="00CB5D85" w:rsidRDefault="00CB5D85">
      <w:pPr>
        <w:contextualSpacing/>
        <w:rPr>
          <w:rFonts w:cs="Arial"/>
          <w:color w:val="000000"/>
          <w:sz w:val="22"/>
          <w:szCs w:val="22"/>
        </w:rPr>
      </w:pPr>
    </w:p>
    <w:p w14:paraId="2D8AC358" w14:textId="77777777" w:rsidR="00CB5D85" w:rsidRDefault="00CB2E66">
      <w:pPr>
        <w:contextualSpacing/>
        <w:rPr>
          <w:rFonts w:cs="Arial"/>
          <w:color w:val="000000"/>
          <w:sz w:val="22"/>
          <w:szCs w:val="22"/>
        </w:rPr>
      </w:pPr>
      <w:r>
        <w:rPr>
          <w:rFonts w:cs="Arial"/>
          <w:color w:val="000000"/>
          <w:sz w:val="22"/>
          <w:szCs w:val="22"/>
        </w:rPr>
        <w:t>Disclosures are made locally, either on each affiliate’s website, or on a separate disclosure platform if prescribed by the national code or law.</w:t>
      </w:r>
    </w:p>
    <w:p w14:paraId="3F74D45F" w14:textId="77777777" w:rsidR="00CB5D85" w:rsidRDefault="00CB5D85">
      <w:pPr>
        <w:contextualSpacing/>
        <w:rPr>
          <w:rFonts w:cs="Arial"/>
          <w:color w:val="000000"/>
          <w:sz w:val="22"/>
          <w:szCs w:val="22"/>
        </w:rPr>
      </w:pPr>
    </w:p>
    <w:p w14:paraId="00040C58" w14:textId="77777777" w:rsidR="00CB5D85" w:rsidRDefault="00CB5D85">
      <w:pPr>
        <w:contextualSpacing/>
        <w:rPr>
          <w:rFonts w:cs="Arial"/>
          <w:color w:val="000000"/>
          <w:sz w:val="22"/>
          <w:szCs w:val="22"/>
        </w:rPr>
      </w:pPr>
    </w:p>
    <w:p w14:paraId="365A388D" w14:textId="77777777" w:rsidR="00CB5D85" w:rsidRPr="00D227BD" w:rsidRDefault="00CB2E66" w:rsidP="00D227BD">
      <w:pPr>
        <w:keepNext/>
        <w:keepLines/>
        <w:numPr>
          <w:ilvl w:val="0"/>
          <w:numId w:val="5"/>
        </w:numPr>
        <w:tabs>
          <w:tab w:val="num" w:pos="284"/>
          <w:tab w:val="num" w:pos="720"/>
        </w:tabs>
        <w:suppressAutoHyphens w:val="0"/>
        <w:autoSpaceDN/>
        <w:spacing w:before="240"/>
        <w:ind w:left="284" w:hanging="284"/>
        <w:outlineLvl w:val="0"/>
        <w:rPr>
          <w:rFonts w:cs="Arial"/>
          <w:b/>
          <w:color w:val="000000"/>
          <w:sz w:val="22"/>
          <w:szCs w:val="22"/>
        </w:rPr>
      </w:pPr>
      <w:bookmarkStart w:id="58" w:name="_Toc446350392"/>
      <w:bookmarkStart w:id="59" w:name="_Toc196297215"/>
      <w:r>
        <w:rPr>
          <w:rFonts w:cs="Arial"/>
          <w:b/>
          <w:color w:val="000000"/>
          <w:sz w:val="22"/>
          <w:szCs w:val="22"/>
        </w:rPr>
        <w:t>Specific considerations</w:t>
      </w:r>
      <w:bookmarkEnd w:id="58"/>
      <w:bookmarkEnd w:id="59"/>
    </w:p>
    <w:p w14:paraId="3E3855FC" w14:textId="77777777" w:rsidR="00CB5D85" w:rsidRDefault="00CB5D85">
      <w:pPr>
        <w:tabs>
          <w:tab w:val="left" w:pos="142"/>
          <w:tab w:val="left" w:pos="284"/>
        </w:tabs>
        <w:rPr>
          <w:rFonts w:cs="Arial"/>
          <w:b/>
          <w:color w:val="000000"/>
          <w:sz w:val="22"/>
          <w:szCs w:val="22"/>
        </w:rPr>
      </w:pPr>
    </w:p>
    <w:p w14:paraId="1247874E" w14:textId="77777777" w:rsidR="00CB5D85" w:rsidRDefault="00CB2E66" w:rsidP="00D227BD">
      <w:pPr>
        <w:keepNext/>
        <w:keepLines/>
        <w:numPr>
          <w:ilvl w:val="1"/>
          <w:numId w:val="16"/>
        </w:numPr>
        <w:suppressAutoHyphens w:val="0"/>
        <w:autoSpaceDN/>
        <w:spacing w:before="40"/>
        <w:ind w:left="851" w:hanging="425"/>
        <w:outlineLvl w:val="1"/>
        <w:rPr>
          <w:rFonts w:cs="Arial"/>
          <w:b/>
          <w:sz w:val="22"/>
          <w:szCs w:val="22"/>
        </w:rPr>
      </w:pPr>
      <w:bookmarkStart w:id="60" w:name="_Toc446350393"/>
      <w:bookmarkStart w:id="61" w:name="_Toc196297216"/>
      <w:r>
        <w:rPr>
          <w:rFonts w:cs="Arial"/>
          <w:b/>
          <w:sz w:val="22"/>
          <w:szCs w:val="22"/>
        </w:rPr>
        <w:t>Country unique identifier</w:t>
      </w:r>
      <w:bookmarkEnd w:id="60"/>
      <w:bookmarkEnd w:id="61"/>
    </w:p>
    <w:p w14:paraId="5D1E7E3F" w14:textId="77777777" w:rsidR="00CB5D85" w:rsidRDefault="00CB5D85">
      <w:pPr>
        <w:contextualSpacing/>
        <w:rPr>
          <w:rFonts w:cs="Arial"/>
          <w:color w:val="000000"/>
          <w:sz w:val="22"/>
          <w:szCs w:val="22"/>
        </w:rPr>
      </w:pPr>
    </w:p>
    <w:p w14:paraId="646253A9" w14:textId="42C3B41C" w:rsidR="00CB5D85" w:rsidRDefault="00CB2E66">
      <w:pPr>
        <w:rPr>
          <w:rFonts w:cs="Arial"/>
          <w:color w:val="000000"/>
          <w:sz w:val="22"/>
          <w:szCs w:val="22"/>
        </w:rPr>
      </w:pPr>
      <w:r>
        <w:rPr>
          <w:rFonts w:cs="Arial"/>
          <w:color w:val="000000"/>
          <w:sz w:val="22"/>
          <w:szCs w:val="22"/>
        </w:rPr>
        <w:t xml:space="preserve">AZ provides one unique identifier for any HCP or HCO that is to be reported.  This ID is generated by AZ and is used to ensure that transactions are reported against the correct recipient and to automate and facilitate collection of </w:t>
      </w:r>
      <w:proofErr w:type="spellStart"/>
      <w:r>
        <w:rPr>
          <w:rFonts w:cs="Arial"/>
          <w:color w:val="000000"/>
          <w:sz w:val="22"/>
          <w:szCs w:val="22"/>
        </w:rPr>
        <w:t>ToVs</w:t>
      </w:r>
      <w:proofErr w:type="spellEnd"/>
      <w:r>
        <w:rPr>
          <w:rFonts w:cs="Arial"/>
          <w:color w:val="000000"/>
          <w:sz w:val="22"/>
          <w:szCs w:val="22"/>
        </w:rPr>
        <w:t xml:space="preserve"> throughout Europe and across other affiliates.</w:t>
      </w:r>
    </w:p>
    <w:p w14:paraId="2B306F82" w14:textId="77777777" w:rsidR="00CB5D85" w:rsidRDefault="00CB5D85">
      <w:pPr>
        <w:contextualSpacing/>
        <w:rPr>
          <w:rFonts w:cs="Arial"/>
          <w:color w:val="000000"/>
          <w:sz w:val="22"/>
          <w:szCs w:val="22"/>
        </w:rPr>
      </w:pPr>
    </w:p>
    <w:p w14:paraId="7C32A464" w14:textId="77777777" w:rsidR="00CB5D85" w:rsidRDefault="00CB2E66" w:rsidP="00D227BD">
      <w:pPr>
        <w:keepNext/>
        <w:keepLines/>
        <w:numPr>
          <w:ilvl w:val="0"/>
          <w:numId w:val="5"/>
        </w:numPr>
        <w:tabs>
          <w:tab w:val="num" w:pos="284"/>
          <w:tab w:val="num" w:pos="720"/>
        </w:tabs>
        <w:suppressAutoHyphens w:val="0"/>
        <w:autoSpaceDN/>
        <w:spacing w:before="240"/>
        <w:ind w:left="284" w:hanging="284"/>
        <w:outlineLvl w:val="0"/>
        <w:rPr>
          <w:rFonts w:cs="Arial"/>
          <w:b/>
          <w:color w:val="000000"/>
          <w:sz w:val="22"/>
          <w:szCs w:val="22"/>
        </w:rPr>
      </w:pPr>
      <w:bookmarkStart w:id="62" w:name="_Toc446350394"/>
      <w:bookmarkStart w:id="63" w:name="_Toc196297217"/>
      <w:r>
        <w:rPr>
          <w:rFonts w:cs="Arial"/>
          <w:b/>
          <w:color w:val="000000"/>
          <w:sz w:val="22"/>
          <w:szCs w:val="22"/>
        </w:rPr>
        <w:t>Management of recipient’s request</w:t>
      </w:r>
      <w:bookmarkEnd w:id="62"/>
      <w:bookmarkEnd w:id="63"/>
    </w:p>
    <w:p w14:paraId="3DD98C2F" w14:textId="77777777" w:rsidR="00CB5D85" w:rsidRDefault="00CB5D85">
      <w:pPr>
        <w:contextualSpacing/>
        <w:rPr>
          <w:rFonts w:cs="Arial"/>
          <w:color w:val="000000"/>
          <w:sz w:val="22"/>
          <w:szCs w:val="22"/>
        </w:rPr>
      </w:pPr>
    </w:p>
    <w:p w14:paraId="5DE3CAA7" w14:textId="77777777" w:rsidR="00CB5D85" w:rsidRDefault="00CB2E66">
      <w:pPr>
        <w:rPr>
          <w:rFonts w:cs="Arial"/>
          <w:sz w:val="22"/>
          <w:szCs w:val="22"/>
        </w:rPr>
      </w:pPr>
      <w:r>
        <w:rPr>
          <w:rFonts w:cs="Arial"/>
          <w:sz w:val="22"/>
          <w:szCs w:val="22"/>
        </w:rPr>
        <w:t>Requests or disputes are managed at a local level.  HCPs or HCOs should contact AstraZeneca BV / their local day-to-day contact if they believe any data reported is inaccurate.</w:t>
      </w:r>
    </w:p>
    <w:p w14:paraId="06E251DF" w14:textId="77777777" w:rsidR="00CB5D85" w:rsidRDefault="00CB5D85">
      <w:pPr>
        <w:rPr>
          <w:rFonts w:cs="Arial"/>
          <w:sz w:val="22"/>
          <w:szCs w:val="22"/>
        </w:rPr>
      </w:pPr>
    </w:p>
    <w:p w14:paraId="336B8C63" w14:textId="77777777" w:rsidR="00CB5D85" w:rsidRDefault="00CB2E66">
      <w:pPr>
        <w:rPr>
          <w:rFonts w:cs="Arial"/>
          <w:sz w:val="22"/>
          <w:szCs w:val="22"/>
        </w:rPr>
      </w:pPr>
      <w:r>
        <w:rPr>
          <w:rFonts w:cs="Arial"/>
          <w:sz w:val="22"/>
          <w:szCs w:val="22"/>
        </w:rPr>
        <w:t xml:space="preserve"> AstraZeneca commits to resolving disputes and republishing if required within 30 days of receiving notification of the dispute. </w:t>
      </w:r>
    </w:p>
    <w:p w14:paraId="3FF58A88" w14:textId="77777777" w:rsidR="00CB5D85" w:rsidRDefault="00CB5D85">
      <w:pPr>
        <w:rPr>
          <w:rFonts w:cs="Arial"/>
          <w:color w:val="000000"/>
          <w:sz w:val="22"/>
          <w:szCs w:val="22"/>
        </w:rPr>
      </w:pPr>
    </w:p>
    <w:p w14:paraId="49D051B5" w14:textId="77777777" w:rsidR="00CB5D85" w:rsidRDefault="00CB5D85">
      <w:pPr>
        <w:contextualSpacing/>
        <w:rPr>
          <w:rFonts w:cs="Arial"/>
          <w:color w:val="000000"/>
          <w:sz w:val="22"/>
          <w:szCs w:val="22"/>
        </w:rPr>
      </w:pPr>
    </w:p>
    <w:p w14:paraId="57DB5F79" w14:textId="77777777" w:rsidR="00CB5D85" w:rsidRPr="00D227BD" w:rsidRDefault="00CB2E66" w:rsidP="00D227BD">
      <w:pPr>
        <w:keepNext/>
        <w:keepLines/>
        <w:numPr>
          <w:ilvl w:val="0"/>
          <w:numId w:val="5"/>
        </w:numPr>
        <w:tabs>
          <w:tab w:val="num" w:pos="284"/>
          <w:tab w:val="num" w:pos="720"/>
        </w:tabs>
        <w:suppressAutoHyphens w:val="0"/>
        <w:autoSpaceDN/>
        <w:spacing w:before="240"/>
        <w:ind w:left="284" w:hanging="284"/>
        <w:outlineLvl w:val="0"/>
        <w:rPr>
          <w:rFonts w:cs="Arial"/>
          <w:b/>
          <w:color w:val="000000"/>
          <w:sz w:val="22"/>
          <w:szCs w:val="22"/>
        </w:rPr>
      </w:pPr>
      <w:bookmarkStart w:id="64" w:name="_Toc446350395"/>
      <w:bookmarkStart w:id="65" w:name="_Toc196297218"/>
      <w:r>
        <w:rPr>
          <w:rFonts w:cs="Arial"/>
          <w:b/>
          <w:color w:val="000000"/>
          <w:sz w:val="22"/>
          <w:szCs w:val="22"/>
        </w:rPr>
        <w:t>Disclosure form</w:t>
      </w:r>
      <w:bookmarkEnd w:id="64"/>
      <w:bookmarkEnd w:id="65"/>
    </w:p>
    <w:p w14:paraId="15EA932E" w14:textId="77777777" w:rsidR="00CB5D85" w:rsidRDefault="00CB5D85">
      <w:pPr>
        <w:tabs>
          <w:tab w:val="left" w:pos="142"/>
          <w:tab w:val="left" w:pos="284"/>
        </w:tabs>
        <w:rPr>
          <w:rFonts w:cs="Arial"/>
          <w:b/>
          <w:color w:val="000000"/>
          <w:sz w:val="22"/>
          <w:szCs w:val="22"/>
        </w:rPr>
      </w:pPr>
    </w:p>
    <w:p w14:paraId="631D069A" w14:textId="77777777" w:rsidR="00CB5D85" w:rsidRDefault="00CB2E66" w:rsidP="00D227BD">
      <w:pPr>
        <w:keepNext/>
        <w:keepLines/>
        <w:numPr>
          <w:ilvl w:val="1"/>
          <w:numId w:val="18"/>
        </w:numPr>
        <w:suppressAutoHyphens w:val="0"/>
        <w:autoSpaceDN/>
        <w:spacing w:before="40"/>
        <w:ind w:left="851" w:hanging="425"/>
        <w:outlineLvl w:val="1"/>
        <w:rPr>
          <w:rFonts w:cs="Arial"/>
          <w:b/>
          <w:sz w:val="22"/>
          <w:szCs w:val="22"/>
        </w:rPr>
      </w:pPr>
      <w:bookmarkStart w:id="66" w:name="_Toc446350396"/>
      <w:bookmarkStart w:id="67" w:name="_Toc196297219"/>
      <w:r>
        <w:rPr>
          <w:rFonts w:cs="Arial"/>
          <w:b/>
          <w:sz w:val="22"/>
          <w:szCs w:val="22"/>
        </w:rPr>
        <w:t>Disclosure platform</w:t>
      </w:r>
      <w:bookmarkEnd w:id="66"/>
      <w:bookmarkEnd w:id="67"/>
    </w:p>
    <w:p w14:paraId="6B93394E" w14:textId="77777777" w:rsidR="00CB5D85" w:rsidRDefault="00CB5D85">
      <w:pPr>
        <w:contextualSpacing/>
        <w:rPr>
          <w:rFonts w:cs="Arial"/>
          <w:color w:val="000000"/>
          <w:sz w:val="22"/>
          <w:szCs w:val="22"/>
        </w:rPr>
      </w:pPr>
    </w:p>
    <w:p w14:paraId="0A0A4CBE" w14:textId="77777777" w:rsidR="00CB5D85" w:rsidRDefault="00CB2E66" w:rsidP="00D227BD">
      <w:pPr>
        <w:keepNext/>
        <w:keepLines/>
        <w:numPr>
          <w:ilvl w:val="2"/>
          <w:numId w:val="17"/>
        </w:numPr>
        <w:suppressAutoHyphens w:val="0"/>
        <w:autoSpaceDN/>
        <w:spacing w:before="40"/>
        <w:ind w:left="1418" w:hanging="709"/>
        <w:outlineLvl w:val="2"/>
        <w:rPr>
          <w:rFonts w:cs="Arial"/>
          <w:sz w:val="22"/>
          <w:szCs w:val="22"/>
          <w:u w:val="single"/>
        </w:rPr>
      </w:pPr>
      <w:bookmarkStart w:id="68" w:name="_Toc446350397"/>
      <w:bookmarkStart w:id="69" w:name="_Toc196297220"/>
      <w:r>
        <w:rPr>
          <w:rFonts w:cs="Arial"/>
          <w:sz w:val="22"/>
          <w:szCs w:val="22"/>
          <w:u w:val="single"/>
        </w:rPr>
        <w:t>Date of publication</w:t>
      </w:r>
      <w:bookmarkEnd w:id="68"/>
      <w:bookmarkEnd w:id="69"/>
    </w:p>
    <w:p w14:paraId="482EBB9D" w14:textId="77777777" w:rsidR="00CB5D85" w:rsidRDefault="00CB5D85">
      <w:pPr>
        <w:ind w:left="720"/>
        <w:contextualSpacing/>
        <w:rPr>
          <w:rFonts w:cs="Arial"/>
          <w:color w:val="000000"/>
          <w:sz w:val="22"/>
          <w:szCs w:val="22"/>
        </w:rPr>
      </w:pPr>
    </w:p>
    <w:p w14:paraId="43E03E6A" w14:textId="77777777" w:rsidR="00CB5D85" w:rsidRDefault="00CB2E66">
      <w:pPr>
        <w:contextualSpacing/>
      </w:pPr>
      <w:r>
        <w:rPr>
          <w:rFonts w:cs="Arial"/>
          <w:color w:val="000000"/>
          <w:sz w:val="22"/>
          <w:szCs w:val="22"/>
        </w:rPr>
        <w:t>The date of publication for the Netherlands is medio July,</w:t>
      </w:r>
      <w:r>
        <w:rPr>
          <w:rFonts w:cs="Arial"/>
          <w:color w:val="FF0000"/>
          <w:sz w:val="22"/>
          <w:szCs w:val="22"/>
        </w:rPr>
        <w:t xml:space="preserve"> </w:t>
      </w:r>
      <w:r>
        <w:rPr>
          <w:rFonts w:cs="Arial"/>
          <w:color w:val="000000"/>
          <w:sz w:val="22"/>
          <w:szCs w:val="22"/>
        </w:rPr>
        <w:t xml:space="preserve">in line with CGR Code of Conduct.  </w:t>
      </w:r>
    </w:p>
    <w:p w14:paraId="0CC7542F" w14:textId="77777777" w:rsidR="00CB5D85" w:rsidRDefault="00CB5D85">
      <w:pPr>
        <w:rPr>
          <w:rFonts w:cs="Arial"/>
          <w:color w:val="000000"/>
          <w:sz w:val="22"/>
          <w:szCs w:val="22"/>
        </w:rPr>
      </w:pPr>
    </w:p>
    <w:p w14:paraId="55F54339" w14:textId="77777777" w:rsidR="00CB5D85" w:rsidRDefault="00CB2E66" w:rsidP="00D227BD">
      <w:pPr>
        <w:keepNext/>
        <w:keepLines/>
        <w:numPr>
          <w:ilvl w:val="2"/>
          <w:numId w:val="17"/>
        </w:numPr>
        <w:suppressAutoHyphens w:val="0"/>
        <w:autoSpaceDN/>
        <w:spacing w:before="40"/>
        <w:ind w:left="1418" w:hanging="709"/>
        <w:outlineLvl w:val="2"/>
        <w:rPr>
          <w:rFonts w:cs="Arial"/>
          <w:sz w:val="22"/>
          <w:szCs w:val="22"/>
          <w:u w:val="single"/>
        </w:rPr>
      </w:pPr>
      <w:bookmarkStart w:id="70" w:name="_Toc446350398"/>
      <w:bookmarkStart w:id="71" w:name="_Toc196297221"/>
      <w:r>
        <w:rPr>
          <w:rFonts w:cs="Arial"/>
          <w:sz w:val="22"/>
          <w:szCs w:val="22"/>
          <w:u w:val="single"/>
        </w:rPr>
        <w:t>Retention of data</w:t>
      </w:r>
      <w:bookmarkEnd w:id="70"/>
      <w:bookmarkEnd w:id="71"/>
    </w:p>
    <w:p w14:paraId="3D20CBBB" w14:textId="77777777" w:rsidR="00CB5D85" w:rsidRDefault="00CB5D85">
      <w:pPr>
        <w:rPr>
          <w:rFonts w:cs="Arial"/>
          <w:color w:val="000000"/>
          <w:sz w:val="22"/>
          <w:szCs w:val="22"/>
        </w:rPr>
      </w:pPr>
    </w:p>
    <w:p w14:paraId="2E349F99" w14:textId="77777777" w:rsidR="00CB5D85" w:rsidRDefault="00CB2E66">
      <w:r>
        <w:rPr>
          <w:rFonts w:cs="Arial"/>
          <w:color w:val="000000"/>
          <w:sz w:val="22"/>
          <w:szCs w:val="22"/>
        </w:rPr>
        <w:t xml:space="preserve">AZ maintains relevant records of the disclosures for a minimum of 3 years. </w:t>
      </w:r>
    </w:p>
    <w:p w14:paraId="33DB822E" w14:textId="77777777" w:rsidR="00CB5D85" w:rsidRDefault="00CB5D85">
      <w:pPr>
        <w:rPr>
          <w:rFonts w:cs="Arial"/>
          <w:color w:val="000000"/>
          <w:sz w:val="22"/>
          <w:szCs w:val="22"/>
        </w:rPr>
      </w:pPr>
    </w:p>
    <w:p w14:paraId="071DF123" w14:textId="77777777" w:rsidR="00CB5D85" w:rsidRDefault="00CB5D85">
      <w:pPr>
        <w:rPr>
          <w:rFonts w:cs="Arial"/>
          <w:color w:val="000000"/>
          <w:sz w:val="22"/>
          <w:szCs w:val="22"/>
        </w:rPr>
      </w:pPr>
    </w:p>
    <w:p w14:paraId="22B877B3" w14:textId="77777777" w:rsidR="00CB5D85" w:rsidRDefault="00CB2E66" w:rsidP="00D227BD">
      <w:pPr>
        <w:keepNext/>
        <w:keepLines/>
        <w:numPr>
          <w:ilvl w:val="1"/>
          <w:numId w:val="17"/>
        </w:numPr>
        <w:suppressAutoHyphens w:val="0"/>
        <w:autoSpaceDN/>
        <w:spacing w:before="40"/>
        <w:ind w:left="851" w:hanging="425"/>
        <w:outlineLvl w:val="1"/>
        <w:rPr>
          <w:rFonts w:cs="Arial"/>
          <w:b/>
          <w:sz w:val="22"/>
          <w:szCs w:val="22"/>
        </w:rPr>
      </w:pPr>
      <w:bookmarkStart w:id="72" w:name="_Toc446350399"/>
      <w:bookmarkStart w:id="73" w:name="_Toc196297222"/>
      <w:r>
        <w:rPr>
          <w:rFonts w:cs="Arial"/>
          <w:b/>
          <w:sz w:val="22"/>
          <w:szCs w:val="22"/>
        </w:rPr>
        <w:t>Disclosure language</w:t>
      </w:r>
      <w:bookmarkEnd w:id="72"/>
      <w:bookmarkEnd w:id="73"/>
    </w:p>
    <w:p w14:paraId="19D4D968" w14:textId="77777777" w:rsidR="00CB5D85" w:rsidRDefault="00CB5D85">
      <w:pPr>
        <w:rPr>
          <w:rFonts w:cs="Arial"/>
          <w:color w:val="000000"/>
          <w:sz w:val="22"/>
          <w:szCs w:val="22"/>
        </w:rPr>
      </w:pPr>
    </w:p>
    <w:p w14:paraId="15A53A48" w14:textId="77777777" w:rsidR="00CB5D85" w:rsidRDefault="00CB2E66">
      <w:pPr>
        <w:rPr>
          <w:rFonts w:cs="Arial"/>
          <w:color w:val="000000"/>
          <w:sz w:val="22"/>
          <w:szCs w:val="22"/>
        </w:rPr>
      </w:pPr>
      <w:r>
        <w:rPr>
          <w:rFonts w:cs="Arial"/>
          <w:color w:val="000000"/>
          <w:sz w:val="22"/>
          <w:szCs w:val="22"/>
        </w:rPr>
        <w:t>Disclosure is made in Dutch.</w:t>
      </w:r>
    </w:p>
    <w:p w14:paraId="7EB9AB47" w14:textId="77777777" w:rsidR="00CB5D85" w:rsidRDefault="00CB5D85">
      <w:pPr>
        <w:rPr>
          <w:rFonts w:cs="Arial"/>
          <w:color w:val="000000"/>
          <w:sz w:val="22"/>
          <w:szCs w:val="22"/>
        </w:rPr>
      </w:pPr>
    </w:p>
    <w:p w14:paraId="33ECBBCE" w14:textId="77777777" w:rsidR="00CB5D85" w:rsidRDefault="00CB5D85">
      <w:pPr>
        <w:rPr>
          <w:rFonts w:cs="Arial"/>
          <w:color w:val="000000"/>
          <w:sz w:val="22"/>
          <w:szCs w:val="22"/>
        </w:rPr>
      </w:pPr>
    </w:p>
    <w:p w14:paraId="1BED8ECD" w14:textId="77777777" w:rsidR="00CB5D85" w:rsidRDefault="00CB2E66" w:rsidP="00D227BD">
      <w:pPr>
        <w:keepNext/>
        <w:keepLines/>
        <w:numPr>
          <w:ilvl w:val="1"/>
          <w:numId w:val="17"/>
        </w:numPr>
        <w:suppressAutoHyphens w:val="0"/>
        <w:autoSpaceDN/>
        <w:spacing w:before="40"/>
        <w:ind w:left="851" w:hanging="425"/>
        <w:outlineLvl w:val="1"/>
        <w:rPr>
          <w:rFonts w:cs="Arial"/>
          <w:b/>
          <w:sz w:val="22"/>
          <w:szCs w:val="22"/>
        </w:rPr>
      </w:pPr>
      <w:bookmarkStart w:id="74" w:name="_Toc446350400"/>
      <w:bookmarkStart w:id="75" w:name="_Toc196297223"/>
      <w:r>
        <w:rPr>
          <w:rFonts w:cs="Arial"/>
          <w:b/>
          <w:sz w:val="22"/>
          <w:szCs w:val="22"/>
        </w:rPr>
        <w:t>Pre-disclosure</w:t>
      </w:r>
      <w:bookmarkEnd w:id="74"/>
      <w:bookmarkEnd w:id="75"/>
      <w:r>
        <w:rPr>
          <w:rFonts w:cs="Arial"/>
          <w:b/>
          <w:sz w:val="22"/>
          <w:szCs w:val="22"/>
        </w:rPr>
        <w:t xml:space="preserve"> </w:t>
      </w:r>
    </w:p>
    <w:p w14:paraId="038C1476" w14:textId="77777777" w:rsidR="00CB5D85" w:rsidRDefault="00CB5D85">
      <w:pPr>
        <w:rPr>
          <w:rFonts w:cs="Arial"/>
          <w:color w:val="000000"/>
          <w:sz w:val="22"/>
          <w:szCs w:val="22"/>
        </w:rPr>
      </w:pPr>
    </w:p>
    <w:p w14:paraId="2FF99902" w14:textId="77777777" w:rsidR="00CB5D85" w:rsidRDefault="00CB2E66">
      <w:pPr>
        <w:rPr>
          <w:rFonts w:cs="Arial"/>
          <w:color w:val="000000"/>
          <w:sz w:val="22"/>
          <w:szCs w:val="22"/>
        </w:rPr>
      </w:pPr>
      <w:r>
        <w:rPr>
          <w:rFonts w:cs="Arial"/>
          <w:color w:val="000000"/>
          <w:sz w:val="22"/>
          <w:szCs w:val="22"/>
        </w:rPr>
        <w:t xml:space="preserve">A process allows HCPs and HCOs to review </w:t>
      </w:r>
      <w:proofErr w:type="spellStart"/>
      <w:r>
        <w:rPr>
          <w:rFonts w:cs="Arial"/>
          <w:color w:val="000000"/>
          <w:sz w:val="22"/>
          <w:szCs w:val="22"/>
        </w:rPr>
        <w:t>ToVs</w:t>
      </w:r>
      <w:proofErr w:type="spellEnd"/>
      <w:r>
        <w:rPr>
          <w:rFonts w:cs="Arial"/>
          <w:color w:val="000000"/>
          <w:sz w:val="22"/>
          <w:szCs w:val="22"/>
        </w:rPr>
        <w:t xml:space="preserve"> planned to be published prior to disclosure on website Transparantieregister Zorg. </w:t>
      </w:r>
    </w:p>
    <w:p w14:paraId="156FA6AA" w14:textId="77777777" w:rsidR="00CB5D85" w:rsidRDefault="00CB5D85">
      <w:pPr>
        <w:tabs>
          <w:tab w:val="left" w:pos="142"/>
          <w:tab w:val="left" w:pos="284"/>
        </w:tabs>
        <w:contextualSpacing/>
        <w:rPr>
          <w:rFonts w:cs="Arial"/>
          <w:color w:val="000000"/>
          <w:sz w:val="22"/>
          <w:szCs w:val="22"/>
        </w:rPr>
      </w:pPr>
    </w:p>
    <w:p w14:paraId="77597F6D" w14:textId="77777777" w:rsidR="00CB5D85" w:rsidRDefault="00CB5D85">
      <w:pPr>
        <w:tabs>
          <w:tab w:val="left" w:pos="142"/>
          <w:tab w:val="left" w:pos="284"/>
        </w:tabs>
        <w:contextualSpacing/>
        <w:rPr>
          <w:rFonts w:cs="Arial"/>
          <w:color w:val="000000"/>
          <w:sz w:val="22"/>
          <w:szCs w:val="22"/>
        </w:rPr>
      </w:pPr>
    </w:p>
    <w:p w14:paraId="3F7A773A" w14:textId="77777777" w:rsidR="00CB5D85" w:rsidRDefault="00CB2E66" w:rsidP="00D227BD">
      <w:pPr>
        <w:keepNext/>
        <w:keepLines/>
        <w:numPr>
          <w:ilvl w:val="0"/>
          <w:numId w:val="5"/>
        </w:numPr>
        <w:tabs>
          <w:tab w:val="num" w:pos="284"/>
          <w:tab w:val="num" w:pos="720"/>
        </w:tabs>
        <w:suppressAutoHyphens w:val="0"/>
        <w:autoSpaceDN/>
        <w:spacing w:before="240"/>
        <w:ind w:left="284" w:hanging="284"/>
        <w:outlineLvl w:val="0"/>
        <w:rPr>
          <w:rFonts w:cs="Arial"/>
          <w:b/>
          <w:color w:val="000000"/>
          <w:sz w:val="22"/>
          <w:szCs w:val="22"/>
        </w:rPr>
      </w:pPr>
      <w:bookmarkStart w:id="76" w:name="_Toc446350401"/>
      <w:bookmarkStart w:id="77" w:name="_Toc196297224"/>
      <w:r>
        <w:rPr>
          <w:rFonts w:cs="Arial"/>
          <w:b/>
          <w:color w:val="000000"/>
          <w:sz w:val="22"/>
          <w:szCs w:val="22"/>
        </w:rPr>
        <w:t>Disclosure financial data</w:t>
      </w:r>
      <w:bookmarkEnd w:id="76"/>
      <w:bookmarkEnd w:id="77"/>
    </w:p>
    <w:p w14:paraId="583CC502" w14:textId="77777777" w:rsidR="00CB5D85" w:rsidRDefault="00CB5D85">
      <w:pPr>
        <w:tabs>
          <w:tab w:val="left" w:pos="142"/>
          <w:tab w:val="left" w:pos="284"/>
        </w:tabs>
        <w:rPr>
          <w:rFonts w:cs="Arial"/>
          <w:color w:val="000000"/>
          <w:sz w:val="22"/>
          <w:szCs w:val="22"/>
        </w:rPr>
      </w:pPr>
    </w:p>
    <w:p w14:paraId="2E5ECEDF" w14:textId="77777777" w:rsidR="00CB5D85" w:rsidRDefault="00CB2E66" w:rsidP="00D227BD">
      <w:pPr>
        <w:keepNext/>
        <w:keepLines/>
        <w:numPr>
          <w:ilvl w:val="1"/>
          <w:numId w:val="20"/>
        </w:numPr>
        <w:suppressAutoHyphens w:val="0"/>
        <w:autoSpaceDN/>
        <w:spacing w:before="40"/>
        <w:ind w:left="851" w:hanging="425"/>
        <w:outlineLvl w:val="1"/>
        <w:rPr>
          <w:rFonts w:cs="Arial"/>
          <w:b/>
          <w:sz w:val="22"/>
          <w:szCs w:val="22"/>
        </w:rPr>
      </w:pPr>
      <w:bookmarkStart w:id="78" w:name="_Toc446350402"/>
      <w:bookmarkStart w:id="79" w:name="_Toc196297225"/>
      <w:r>
        <w:rPr>
          <w:rFonts w:cs="Arial"/>
          <w:b/>
          <w:sz w:val="22"/>
          <w:szCs w:val="22"/>
        </w:rPr>
        <w:t>Currency</w:t>
      </w:r>
      <w:bookmarkEnd w:id="78"/>
      <w:bookmarkEnd w:id="79"/>
    </w:p>
    <w:p w14:paraId="0632FF22" w14:textId="77777777" w:rsidR="00CB5D85" w:rsidRDefault="00CB5D85">
      <w:pPr>
        <w:rPr>
          <w:rFonts w:cs="Arial"/>
          <w:b/>
          <w:color w:val="000000"/>
          <w:sz w:val="22"/>
          <w:szCs w:val="22"/>
        </w:rPr>
      </w:pPr>
    </w:p>
    <w:p w14:paraId="6D725EB7" w14:textId="77777777" w:rsidR="00CB5D85" w:rsidRDefault="00CB2E66">
      <w:r>
        <w:rPr>
          <w:rFonts w:cs="Arial"/>
          <w:color w:val="000000"/>
          <w:sz w:val="22"/>
          <w:szCs w:val="22"/>
        </w:rPr>
        <w:t xml:space="preserve">Disclosure will be made in euros. In the case of service provision by a healthcare professional, only the fee (excluding VAT and expenses) is to be registered. In case of sponsorship agreements, the full sponsorship amount is to be submitted. </w:t>
      </w:r>
      <w:r>
        <w:rPr>
          <w:rFonts w:cs="Arial"/>
          <w:color w:val="FF0000"/>
          <w:sz w:val="22"/>
          <w:szCs w:val="22"/>
        </w:rPr>
        <w:t xml:space="preserve">  </w:t>
      </w:r>
      <w:r>
        <w:rPr>
          <w:rFonts w:cs="Arial"/>
          <w:color w:val="000000"/>
          <w:sz w:val="22"/>
          <w:szCs w:val="22"/>
        </w:rPr>
        <w:t>For in scope transactions requiring conversion, the calculation will be applied when the transaction is moved to the reporting environment, using the AZ Uniform Reference Environment (AZURE) rates. AZURE is what AZ utilizes for conversion rates for each currency.</w:t>
      </w:r>
    </w:p>
    <w:p w14:paraId="57A8887E" w14:textId="77777777" w:rsidR="00CB5D85" w:rsidRDefault="00CB5D85">
      <w:pPr>
        <w:rPr>
          <w:rFonts w:cs="Arial"/>
          <w:color w:val="000000"/>
          <w:sz w:val="22"/>
          <w:szCs w:val="22"/>
        </w:rPr>
      </w:pPr>
    </w:p>
    <w:p w14:paraId="63A68A04" w14:textId="77777777" w:rsidR="00CB5D85" w:rsidRPr="00375885" w:rsidRDefault="00CB2E66" w:rsidP="00D227BD">
      <w:pPr>
        <w:keepNext/>
        <w:keepLines/>
        <w:numPr>
          <w:ilvl w:val="1"/>
          <w:numId w:val="20"/>
        </w:numPr>
        <w:suppressAutoHyphens w:val="0"/>
        <w:autoSpaceDN/>
        <w:spacing w:before="40"/>
        <w:ind w:left="851" w:hanging="425"/>
        <w:outlineLvl w:val="1"/>
        <w:rPr>
          <w:rFonts w:cs="Arial"/>
          <w:b/>
          <w:sz w:val="22"/>
          <w:szCs w:val="22"/>
        </w:rPr>
      </w:pPr>
      <w:bookmarkStart w:id="80" w:name="_Toc446350403"/>
      <w:bookmarkStart w:id="81" w:name="_Toc196297226"/>
      <w:r w:rsidRPr="00375885">
        <w:rPr>
          <w:rFonts w:cs="Arial"/>
          <w:b/>
          <w:sz w:val="22"/>
          <w:szCs w:val="22"/>
        </w:rPr>
        <w:t>Value Added Tax (VAT) and other taxes</w:t>
      </w:r>
      <w:bookmarkEnd w:id="80"/>
      <w:bookmarkEnd w:id="81"/>
    </w:p>
    <w:p w14:paraId="07099F7C" w14:textId="77777777" w:rsidR="00CB5D85" w:rsidRDefault="00CB5D85">
      <w:pPr>
        <w:rPr>
          <w:rFonts w:cs="Arial"/>
          <w:b/>
          <w:color w:val="000000"/>
          <w:sz w:val="22"/>
          <w:szCs w:val="22"/>
        </w:rPr>
      </w:pPr>
    </w:p>
    <w:p w14:paraId="17381E55" w14:textId="77777777" w:rsidR="00CB5D85" w:rsidRDefault="00CB2E66">
      <w:pPr>
        <w:rPr>
          <w:rFonts w:cs="Arial"/>
          <w:color w:val="000000"/>
          <w:sz w:val="22"/>
          <w:szCs w:val="22"/>
        </w:rPr>
      </w:pPr>
      <w:r>
        <w:rPr>
          <w:rFonts w:cs="Arial"/>
          <w:color w:val="000000"/>
          <w:sz w:val="22"/>
          <w:szCs w:val="22"/>
        </w:rPr>
        <w:t>Fees for Services VAT are excluded (related costs including VAT) and sponsorships are including VAT.</w:t>
      </w:r>
    </w:p>
    <w:p w14:paraId="5EF064E4" w14:textId="77777777" w:rsidR="00CB5D85" w:rsidRDefault="00CB5D85">
      <w:pPr>
        <w:pStyle w:val="TOCHeading"/>
        <w:outlineLvl w:val="9"/>
        <w:rPr>
          <w:rFonts w:cs="Arial"/>
          <w:sz w:val="22"/>
          <w:szCs w:val="22"/>
        </w:rPr>
      </w:pPr>
    </w:p>
    <w:p w14:paraId="475B59A4" w14:textId="77777777" w:rsidR="00CB5D85" w:rsidRDefault="00CB5D85">
      <w:pPr>
        <w:rPr>
          <w:rFonts w:cs="Arial"/>
          <w:b/>
          <w:sz w:val="22"/>
          <w:szCs w:val="22"/>
        </w:rPr>
      </w:pPr>
    </w:p>
    <w:sectPr w:rsidR="00CB5D85">
      <w:headerReference w:type="default" r:id="rId8"/>
      <w:footerReference w:type="default" r:id="rId9"/>
      <w:headerReference w:type="first" r:id="rId10"/>
      <w:footerReference w:type="first" r:id="rId11"/>
      <w:pgSz w:w="11907" w:h="16840"/>
      <w:pgMar w:top="2722" w:right="1275" w:bottom="1304" w:left="1304" w:header="1304"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6306" w14:textId="77777777" w:rsidR="00CB2E66" w:rsidRDefault="00CB2E66">
      <w:r>
        <w:separator/>
      </w:r>
    </w:p>
  </w:endnote>
  <w:endnote w:type="continuationSeparator" w:id="0">
    <w:p w14:paraId="14BEE562" w14:textId="77777777" w:rsidR="00CB2E66" w:rsidRDefault="00CB2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Regular">
    <w:panose1 w:val="00000000000000000000"/>
    <w:charset w:val="00"/>
    <w:family w:val="auto"/>
    <w:notTrueType/>
    <w:pitch w:val="default"/>
    <w:sig w:usb0="00000003" w:usb1="00000000" w:usb2="00000000" w:usb3="00000000" w:csb0="00000001" w:csb1="00000000"/>
  </w:font>
  <w:font w:name="Helvetica 55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D0C4" w14:textId="77777777" w:rsidR="00CB2E66" w:rsidRDefault="00CB2E66">
    <w:pPr>
      <w:pStyle w:val="Footer"/>
      <w:tabs>
        <w:tab w:val="clear" w:pos="4320"/>
        <w:tab w:val="clear" w:pos="8640"/>
        <w:tab w:val="right" w:pos="9356"/>
        <w:tab w:val="right" w:pos="14040"/>
      </w:tabs>
      <w:ind w:right="-1588"/>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AC53" w14:textId="77777777" w:rsidR="00CB2E66" w:rsidRPr="00D227BD" w:rsidRDefault="00CB2E66">
    <w:pPr>
      <w:pStyle w:val="Footer"/>
    </w:pPr>
    <w:r w:rsidRPr="00D227BD">
      <w:t>AstraZeneca BV</w:t>
    </w:r>
  </w:p>
  <w:p w14:paraId="3A16F439" w14:textId="1AF268D0" w:rsidR="00CB2E66" w:rsidRDefault="00CB2E66">
    <w:r>
      <w:rPr>
        <w:rFonts w:eastAsia="MS Mincho"/>
        <w:sz w:val="16"/>
        <w:szCs w:val="16"/>
        <w:lang w:eastAsia="nl-NL"/>
      </w:rPr>
      <w:t xml:space="preserve">Prinses </w:t>
    </w:r>
    <w:proofErr w:type="spellStart"/>
    <w:r>
      <w:rPr>
        <w:rFonts w:eastAsia="MS Mincho"/>
        <w:sz w:val="16"/>
        <w:szCs w:val="16"/>
        <w:lang w:eastAsia="nl-NL"/>
      </w:rPr>
      <w:t>Beatrixlaan</w:t>
    </w:r>
    <w:proofErr w:type="spellEnd"/>
    <w:r>
      <w:rPr>
        <w:rFonts w:eastAsia="MS Mincho"/>
        <w:sz w:val="16"/>
        <w:szCs w:val="16"/>
        <w:lang w:eastAsia="nl-NL"/>
      </w:rPr>
      <w:t xml:space="preserve"> 582</w:t>
    </w:r>
    <w:r>
      <w:rPr>
        <w:rFonts w:eastAsia="MS Mincho"/>
        <w:sz w:val="16"/>
        <w:szCs w:val="16"/>
        <w:lang w:eastAsia="nl-NL"/>
      </w:rPr>
      <w:tab/>
    </w:r>
    <w:r>
      <w:rPr>
        <w:rFonts w:eastAsia="MS Mincho"/>
        <w:sz w:val="16"/>
        <w:szCs w:val="16"/>
        <w:lang w:eastAsia="nl-NL"/>
      </w:rPr>
      <w:tab/>
    </w:r>
    <w:r>
      <w:rPr>
        <w:rFonts w:cs="Arial"/>
        <w:color w:val="303030"/>
        <w:sz w:val="18"/>
        <w:szCs w:val="18"/>
        <w:shd w:val="clear" w:color="auto" w:fill="FFFFFF"/>
      </w:rPr>
      <w:t>NL-11812</w:t>
    </w:r>
    <w:r>
      <w:rPr>
        <w:rFonts w:eastAsia="MS Mincho"/>
        <w:sz w:val="16"/>
        <w:szCs w:val="16"/>
        <w:lang w:eastAsia="nl-NL"/>
      </w:rPr>
      <w:t>/Prod.</w:t>
    </w:r>
    <w:r w:rsidR="00F4115A">
      <w:rPr>
        <w:rFonts w:eastAsia="MS Mincho"/>
        <w:sz w:val="16"/>
        <w:szCs w:val="16"/>
        <w:lang w:eastAsia="nl-NL"/>
      </w:rPr>
      <w:t>Apr</w:t>
    </w:r>
    <w:r>
      <w:rPr>
        <w:rFonts w:eastAsia="MS Mincho"/>
        <w:sz w:val="16"/>
        <w:szCs w:val="16"/>
        <w:lang w:eastAsia="nl-NL"/>
      </w:rPr>
      <w:t>202</w:t>
    </w:r>
    <w:r w:rsidR="00F4115A">
      <w:rPr>
        <w:rFonts w:eastAsia="MS Mincho"/>
        <w:sz w:val="16"/>
        <w:szCs w:val="16"/>
        <w:lang w:eastAsia="nl-NL"/>
      </w:rPr>
      <w:t>5</w:t>
    </w:r>
  </w:p>
  <w:p w14:paraId="1DA40327" w14:textId="77777777" w:rsidR="00CB2E66" w:rsidRDefault="00CB2E66">
    <w:pPr>
      <w:rPr>
        <w:rFonts w:eastAsia="MS Mincho"/>
        <w:sz w:val="16"/>
        <w:szCs w:val="16"/>
        <w:lang w:val="nl-NL" w:eastAsia="nl-NL"/>
      </w:rPr>
    </w:pPr>
    <w:r>
      <w:rPr>
        <w:rFonts w:eastAsia="MS Mincho"/>
        <w:sz w:val="16"/>
        <w:szCs w:val="16"/>
        <w:lang w:val="nl-NL" w:eastAsia="nl-NL"/>
      </w:rPr>
      <w:t>2595 BM Den Haag</w:t>
    </w:r>
  </w:p>
  <w:p w14:paraId="3819BDD8" w14:textId="77777777" w:rsidR="00CB2E66" w:rsidRDefault="00CB2E66">
    <w:pPr>
      <w:pStyle w:val="Footer"/>
      <w:rPr>
        <w:lang w:val="nl-NL"/>
      </w:rPr>
    </w:pPr>
    <w:r>
      <w:rPr>
        <w:lang w:val="nl-NL"/>
      </w:rPr>
      <w:t>Nr. 24234576</w:t>
    </w:r>
  </w:p>
  <w:p w14:paraId="4E94D6AB" w14:textId="77777777" w:rsidR="00CB2E66" w:rsidRDefault="00CB2E66">
    <w:pPr>
      <w:pStyle w:val="Footer"/>
      <w:rPr>
        <w:lang w:val="nl-NL"/>
      </w:rPr>
    </w:pPr>
    <w:r>
      <w:rPr>
        <w:lang w:val="nl-NL"/>
      </w:rPr>
      <w:t>KvK Den Haag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BCAB6" w14:textId="77777777" w:rsidR="00CB2E66" w:rsidRDefault="00CB2E66">
      <w:r>
        <w:rPr>
          <w:color w:val="000000"/>
        </w:rPr>
        <w:separator/>
      </w:r>
    </w:p>
  </w:footnote>
  <w:footnote w:type="continuationSeparator" w:id="0">
    <w:p w14:paraId="6B9F6F19" w14:textId="77777777" w:rsidR="00CB2E66" w:rsidRDefault="00CB2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90A14" w14:textId="77777777" w:rsidR="00CB2E66" w:rsidRDefault="00CB2E66">
    <w:pPr>
      <w:pStyle w:val="Address"/>
    </w:pPr>
    <w:r>
      <w:rPr>
        <w:rFonts w:cs="Arial"/>
        <w:noProof/>
      </w:rPr>
      <w:drawing>
        <wp:anchor distT="0" distB="0" distL="114300" distR="114300" simplePos="0" relativeHeight="251660288" behindDoc="0" locked="0" layoutInCell="1" allowOverlap="1" wp14:anchorId="42E3DD5A" wp14:editId="3AAF92F2">
          <wp:simplePos x="0" y="0"/>
          <wp:positionH relativeFrom="margin">
            <wp:posOffset>3554995</wp:posOffset>
          </wp:positionH>
          <wp:positionV relativeFrom="paragraph">
            <wp:posOffset>-116037</wp:posOffset>
          </wp:positionV>
          <wp:extent cx="2482193" cy="819915"/>
          <wp:effectExtent l="0" t="0" r="0" b="0"/>
          <wp:wrapNone/>
          <wp:docPr id="1059183139" name="Picture 2"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82193" cy="819915"/>
                  </a:xfrm>
                  <a:prstGeom prst="rect">
                    <a:avLst/>
                  </a:prstGeom>
                  <a:noFill/>
                  <a:ln>
                    <a:noFill/>
                    <a:prstDash/>
                  </a:ln>
                </pic:spPr>
              </pic:pic>
            </a:graphicData>
          </a:graphic>
        </wp:anchor>
      </w:drawing>
    </w:r>
    <w:r>
      <w:rPr>
        <w:rFonts w:cs="Arial"/>
        <w:b w:val="0"/>
        <w:bCs w:val="0"/>
        <w:noProof/>
        <w:color w:val="8B034F"/>
        <w:lang w:val="nl-NL" w:eastAsia="nl-NL"/>
      </w:rPr>
      <w:drawing>
        <wp:anchor distT="0" distB="0" distL="114300" distR="114300" simplePos="0" relativeHeight="251659264" behindDoc="1" locked="0" layoutInCell="1" allowOverlap="1" wp14:anchorId="7CA5322A" wp14:editId="688276CF">
          <wp:simplePos x="0" y="0"/>
          <wp:positionH relativeFrom="column">
            <wp:posOffset>8000369</wp:posOffset>
          </wp:positionH>
          <wp:positionV relativeFrom="page">
            <wp:posOffset>467999</wp:posOffset>
          </wp:positionV>
          <wp:extent cx="1371600" cy="4330068"/>
          <wp:effectExtent l="0" t="0" r="0" b="0"/>
          <wp:wrapNone/>
          <wp:docPr id="699733058" name="Picture 20" descr="AZ_CMYK_V_P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371600" cy="4330068"/>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5011" w14:textId="77777777" w:rsidR="00CB2E66" w:rsidRDefault="00CB2E66">
    <w:pPr>
      <w:pStyle w:val="Address"/>
    </w:pPr>
    <w:r>
      <w:rPr>
        <w:rFonts w:cs="Arial"/>
        <w:noProof/>
      </w:rPr>
      <w:drawing>
        <wp:anchor distT="0" distB="0" distL="114300" distR="114300" simplePos="0" relativeHeight="251662336" behindDoc="0" locked="0" layoutInCell="1" allowOverlap="1" wp14:anchorId="7014BF49" wp14:editId="66FB366C">
          <wp:simplePos x="0" y="0"/>
          <wp:positionH relativeFrom="margin">
            <wp:align>right</wp:align>
          </wp:positionH>
          <wp:positionV relativeFrom="paragraph">
            <wp:posOffset>-63322</wp:posOffset>
          </wp:positionV>
          <wp:extent cx="2482193" cy="819915"/>
          <wp:effectExtent l="0" t="0" r="0" b="0"/>
          <wp:wrapNone/>
          <wp:docPr id="1836967504" name="Picture 1"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82193" cy="819915"/>
                  </a:xfrm>
                  <a:prstGeom prst="rect">
                    <a:avLst/>
                  </a:prstGeom>
                  <a:noFill/>
                  <a:ln>
                    <a:noFill/>
                    <a:prstDash/>
                  </a:ln>
                </pic:spPr>
              </pic:pic>
            </a:graphicData>
          </a:graphic>
        </wp:anchor>
      </w:drawing>
    </w:r>
  </w:p>
  <w:p w14:paraId="07C879EA" w14:textId="77777777" w:rsidR="00CB2E66" w:rsidRDefault="00CB2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368E1"/>
    <w:multiLevelType w:val="multilevel"/>
    <w:tmpl w:val="AFE8EDAE"/>
    <w:styleLink w:val="WWOutlineListStyle2"/>
    <w:lvl w:ilvl="0">
      <w:start w:val="1"/>
      <w:numFmt w:val="decimal"/>
      <w:pStyle w:val="FWBL1"/>
      <w:lvlText w:val="%1."/>
      <w:lvlJc w:val="left"/>
      <w:rPr>
        <w:rFonts w:ascii="Arial" w:hAnsi="Arial" w:cs="Arial"/>
        <w:b/>
        <w:i w:val="0"/>
        <w:caps w:val="0"/>
        <w:color w:val="auto"/>
        <w:sz w:val="20"/>
        <w:u w:val="no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70439A0"/>
    <w:multiLevelType w:val="multilevel"/>
    <w:tmpl w:val="D846AC34"/>
    <w:styleLink w:val="LFO25"/>
    <w:lvl w:ilvl="0">
      <w:start w:val="1"/>
      <w:numFmt w:val="decimal"/>
      <w:pStyle w:val="FWBL8"/>
      <w:lvlText w:val="%1."/>
      <w:lvlJc w:val="left"/>
      <w:rPr>
        <w:rFonts w:ascii="Arial" w:hAnsi="Arial" w:cs="Arial"/>
        <w:b/>
        <w:i w:val="0"/>
        <w:caps w:val="0"/>
        <w:color w:val="auto"/>
        <w:sz w:val="20"/>
        <w:u w:val="none"/>
      </w:rPr>
    </w:lvl>
    <w:lvl w:ilvl="1">
      <w:start w:val="1"/>
      <w:numFmt w:val="decimal"/>
      <w:lvlText w:val="%1.%2"/>
      <w:lvlJc w:val="left"/>
      <w:pPr>
        <w:ind w:left="567" w:hanging="567"/>
      </w:pPr>
      <w:rPr>
        <w:rFonts w:ascii="Arial" w:hAnsi="Arial" w:cs="Arial"/>
        <w:b w:val="0"/>
        <w:i w:val="0"/>
        <w:caps w:val="0"/>
        <w:color w:val="auto"/>
        <w:sz w:val="16"/>
        <w:u w:val="none"/>
      </w:rPr>
    </w:lvl>
    <w:lvl w:ilvl="2">
      <w:start w:val="1"/>
      <w:numFmt w:val="lowerLetter"/>
      <w:lvlText w:val="(%3)"/>
      <w:lvlJc w:val="left"/>
      <w:pPr>
        <w:ind w:left="1134" w:hanging="567"/>
      </w:pPr>
      <w:rPr>
        <w:rFonts w:ascii="Arial" w:hAnsi="Arial" w:cs="Arial"/>
        <w:b w:val="0"/>
        <w:i w:val="0"/>
        <w:caps w:val="0"/>
        <w:color w:val="auto"/>
        <w:sz w:val="16"/>
        <w:u w:val="none"/>
      </w:rPr>
    </w:lvl>
    <w:lvl w:ilvl="3">
      <w:start w:val="1"/>
      <w:numFmt w:val="lowerRoman"/>
      <w:lvlText w:val="(%4)"/>
      <w:lvlJc w:val="right"/>
      <w:pPr>
        <w:ind w:left="1440" w:hanging="216"/>
      </w:pPr>
      <w:rPr>
        <w:rFonts w:ascii="Times New Roman" w:hAnsi="Times New Roman" w:cs="Times New Roman"/>
        <w:b w:val="0"/>
        <w:i w:val="0"/>
        <w:caps w:val="0"/>
        <w:color w:val="auto"/>
        <w:u w:val="none"/>
      </w:rPr>
    </w:lvl>
    <w:lvl w:ilvl="4">
      <w:start w:val="1"/>
      <w:numFmt w:val="upperLetter"/>
      <w:lvlText w:val="(%5)"/>
      <w:lvlJc w:val="left"/>
      <w:pPr>
        <w:ind w:left="2160" w:hanging="720"/>
      </w:pPr>
      <w:rPr>
        <w:rFonts w:ascii="Times New Roman" w:hAnsi="Times New Roman" w:cs="Times New Roman"/>
        <w:b w:val="0"/>
        <w:i w:val="0"/>
        <w:caps w:val="0"/>
        <w:color w:val="auto"/>
        <w:u w:val="none"/>
      </w:rPr>
    </w:lvl>
    <w:lvl w:ilvl="5">
      <w:start w:val="1"/>
      <w:numFmt w:val="upperRoman"/>
      <w:lvlText w:val="(%6)"/>
      <w:lvlJc w:val="right"/>
      <w:pPr>
        <w:ind w:left="2880" w:hanging="216"/>
      </w:pPr>
      <w:rPr>
        <w:rFonts w:ascii="Times New Roman" w:hAnsi="Times New Roman" w:cs="Times New Roman"/>
        <w:b w:val="0"/>
        <w:i w:val="0"/>
        <w:caps w:val="0"/>
        <w:color w:val="auto"/>
        <w:u w:val="none"/>
      </w:rPr>
    </w:lvl>
    <w:lvl w:ilvl="6">
      <w:start w:val="27"/>
      <w:numFmt w:val="lowerLetter"/>
      <w:lvlText w:val="(%7)"/>
      <w:lvlJc w:val="left"/>
      <w:pPr>
        <w:ind w:left="3600" w:hanging="720"/>
      </w:pPr>
      <w:rPr>
        <w:rFonts w:ascii="Times New Roman" w:hAnsi="Times New Roman" w:cs="Times New Roman"/>
        <w:b w:val="0"/>
        <w:i w:val="0"/>
        <w:caps w:val="0"/>
        <w:color w:val="auto"/>
        <w:u w:val="none"/>
      </w:rPr>
    </w:lvl>
    <w:lvl w:ilvl="7">
      <w:start w:val="1"/>
      <w:numFmt w:val="decimal"/>
      <w:lvlText w:val="(%8)"/>
      <w:lvlJc w:val="left"/>
      <w:pPr>
        <w:ind w:left="4320" w:hanging="720"/>
      </w:pPr>
      <w:rPr>
        <w:rFonts w:ascii="Times New Roman" w:hAnsi="Times New Roman" w:cs="Times New Roman"/>
        <w:b w:val="0"/>
        <w:i w:val="0"/>
        <w:caps w:val="0"/>
        <w:color w:val="auto"/>
        <w:u w:val="none"/>
      </w:rPr>
    </w:lvl>
    <w:lvl w:ilvl="8">
      <w:start w:val="1"/>
      <w:numFmt w:val="lowerRoman"/>
      <w:lvlText w:val="%9)"/>
      <w:lvlJc w:val="left"/>
      <w:pPr>
        <w:ind w:left="5760" w:hanging="720"/>
      </w:pPr>
      <w:rPr>
        <w:rFonts w:ascii="Times New Roman" w:hAnsi="Times New Roman" w:cs="Times New Roman"/>
        <w:b w:val="0"/>
        <w:i w:val="0"/>
        <w:caps w:val="0"/>
        <w:color w:val="auto"/>
        <w:u w:val="none"/>
      </w:rPr>
    </w:lvl>
  </w:abstractNum>
  <w:abstractNum w:abstractNumId="2" w15:restartNumberingAfterBreak="0">
    <w:nsid w:val="24795CDC"/>
    <w:multiLevelType w:val="multilevel"/>
    <w:tmpl w:val="673E44F0"/>
    <w:lvl w:ilvl="0">
      <w:start w:val="1"/>
      <w:numFmt w:val="decimal"/>
      <w:lvlText w:val="%1."/>
      <w:lvlJc w:val="left"/>
      <w:pPr>
        <w:ind w:left="720" w:hanging="720"/>
      </w:pPr>
      <w:rPr>
        <w:b/>
        <w:i w:val="0"/>
      </w:rPr>
    </w:lvl>
    <w:lvl w:ilvl="1">
      <w:start w:val="1"/>
      <w:numFmt w:val="decimal"/>
      <w:lvlText w:val="%1.%2"/>
      <w:lvlJc w:val="left"/>
      <w:pPr>
        <w:ind w:left="1440" w:hanging="720"/>
      </w:pPr>
      <w:rPr>
        <w:b/>
      </w:rPr>
    </w:lvl>
    <w:lvl w:ilvl="2">
      <w:start w:val="1"/>
      <w:numFmt w:val="decimal"/>
      <w:lvlText w:val="%1.%2.%3"/>
      <w:lvlJc w:val="left"/>
      <w:pPr>
        <w:ind w:left="2138"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5AE3DF8"/>
    <w:multiLevelType w:val="multilevel"/>
    <w:tmpl w:val="290654B4"/>
    <w:styleLink w:val="WWOutlineListStyle1"/>
    <w:lvl w:ilvl="0">
      <w:start w:val="1"/>
      <w:numFmt w:val="decimal"/>
      <w:lvlText w:val="%1."/>
      <w:lvlJc w:val="left"/>
      <w:rPr>
        <w:rFonts w:ascii="Arial" w:hAnsi="Arial" w:cs="Arial"/>
        <w:b/>
        <w:i w:val="0"/>
        <w:caps w:val="0"/>
        <w:color w:val="auto"/>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26C92F08"/>
    <w:multiLevelType w:val="multilevel"/>
    <w:tmpl w:val="14D6D26E"/>
    <w:lvl w:ilvl="0">
      <w:start w:val="6"/>
      <w:numFmt w:val="decimal"/>
      <w:lvlText w:val="%1."/>
      <w:lvlJc w:val="left"/>
      <w:pPr>
        <w:ind w:left="405" w:hanging="405"/>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844" w:hanging="144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8117" w:hanging="2160"/>
      </w:pPr>
    </w:lvl>
    <w:lvl w:ilvl="8">
      <w:start w:val="1"/>
      <w:numFmt w:val="decimal"/>
      <w:lvlText w:val="%1.%2.%3.%4.%5.%6.%7.%8.%9."/>
      <w:lvlJc w:val="left"/>
      <w:pPr>
        <w:ind w:left="8968" w:hanging="2160"/>
      </w:pPr>
    </w:lvl>
  </w:abstractNum>
  <w:abstractNum w:abstractNumId="5" w15:restartNumberingAfterBreak="0">
    <w:nsid w:val="395708FF"/>
    <w:multiLevelType w:val="multilevel"/>
    <w:tmpl w:val="A14A3C80"/>
    <w:lvl w:ilvl="0">
      <w:numFmt w:val="bullet"/>
      <w:lvlText w:val="-"/>
      <w:lvlJc w:val="left"/>
      <w:pPr>
        <w:ind w:left="720" w:hanging="360"/>
      </w:pPr>
      <w:rPr>
        <w:rFonts w:ascii="Georgia" w:eastAsia="MS Mincho" w:hAnsi="Georgia"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D954087"/>
    <w:multiLevelType w:val="multilevel"/>
    <w:tmpl w:val="5950C4EC"/>
    <w:lvl w:ilvl="0">
      <w:start w:val="7"/>
      <w:numFmt w:val="decimal"/>
      <w:lvlText w:val="%1."/>
      <w:lvlJc w:val="left"/>
      <w:pPr>
        <w:ind w:left="375" w:hanging="375"/>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844" w:hanging="144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8117" w:hanging="2160"/>
      </w:pPr>
    </w:lvl>
    <w:lvl w:ilvl="8">
      <w:start w:val="1"/>
      <w:numFmt w:val="decimal"/>
      <w:lvlText w:val="%1.%2.%3.%4.%5.%6.%7.%8.%9."/>
      <w:lvlJc w:val="left"/>
      <w:pPr>
        <w:ind w:left="8968" w:hanging="2160"/>
      </w:pPr>
    </w:lvl>
  </w:abstractNum>
  <w:abstractNum w:abstractNumId="7" w15:restartNumberingAfterBreak="0">
    <w:nsid w:val="421850F3"/>
    <w:multiLevelType w:val="multilevel"/>
    <w:tmpl w:val="95A8BEF8"/>
    <w:styleLink w:val="WWOutlineListStyle"/>
    <w:lvl w:ilvl="0">
      <w:start w:val="1"/>
      <w:numFmt w:val="decimal"/>
      <w:lvlText w:val="%1."/>
      <w:lvlJc w:val="left"/>
      <w:rPr>
        <w:rFonts w:ascii="Arial" w:hAnsi="Arial" w:cs="Arial"/>
        <w:b/>
        <w:i w:val="0"/>
        <w:caps w:val="0"/>
        <w:color w:val="auto"/>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6E91BC7"/>
    <w:multiLevelType w:val="multilevel"/>
    <w:tmpl w:val="CF94D7B4"/>
    <w:lvl w:ilvl="0">
      <w:start w:val="2"/>
      <w:numFmt w:val="decimal"/>
      <w:lvlText w:val="%1."/>
      <w:lvlJc w:val="left"/>
      <w:pPr>
        <w:ind w:left="480" w:hanging="48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15:restartNumberingAfterBreak="0">
    <w:nsid w:val="54A467A7"/>
    <w:multiLevelType w:val="multilevel"/>
    <w:tmpl w:val="6E8EB9B2"/>
    <w:lvl w:ilvl="0">
      <w:numFmt w:val="bullet"/>
      <w:lvlText w:val=""/>
      <w:lvlJc w:val="left"/>
      <w:pPr>
        <w:ind w:left="768" w:hanging="360"/>
      </w:pPr>
      <w:rPr>
        <w:rFonts w:ascii="Symbol" w:hAnsi="Symbol"/>
      </w:rPr>
    </w:lvl>
    <w:lvl w:ilvl="1">
      <w:numFmt w:val="bullet"/>
      <w:lvlText w:val="o"/>
      <w:lvlJc w:val="left"/>
      <w:pPr>
        <w:ind w:left="1488" w:hanging="360"/>
      </w:pPr>
      <w:rPr>
        <w:rFonts w:ascii="Courier New" w:hAnsi="Courier New" w:cs="Courier New"/>
      </w:rPr>
    </w:lvl>
    <w:lvl w:ilvl="2">
      <w:numFmt w:val="bullet"/>
      <w:lvlText w:val=""/>
      <w:lvlJc w:val="left"/>
      <w:pPr>
        <w:ind w:left="2208" w:hanging="360"/>
      </w:pPr>
      <w:rPr>
        <w:rFonts w:ascii="Wingdings" w:hAnsi="Wingdings"/>
      </w:rPr>
    </w:lvl>
    <w:lvl w:ilvl="3">
      <w:numFmt w:val="bullet"/>
      <w:lvlText w:val=""/>
      <w:lvlJc w:val="left"/>
      <w:pPr>
        <w:ind w:left="2928" w:hanging="360"/>
      </w:pPr>
      <w:rPr>
        <w:rFonts w:ascii="Symbol" w:hAnsi="Symbol"/>
      </w:rPr>
    </w:lvl>
    <w:lvl w:ilvl="4">
      <w:numFmt w:val="bullet"/>
      <w:lvlText w:val="o"/>
      <w:lvlJc w:val="left"/>
      <w:pPr>
        <w:ind w:left="3648" w:hanging="360"/>
      </w:pPr>
      <w:rPr>
        <w:rFonts w:ascii="Courier New" w:hAnsi="Courier New" w:cs="Courier New"/>
      </w:rPr>
    </w:lvl>
    <w:lvl w:ilvl="5">
      <w:numFmt w:val="bullet"/>
      <w:lvlText w:val=""/>
      <w:lvlJc w:val="left"/>
      <w:pPr>
        <w:ind w:left="4368" w:hanging="360"/>
      </w:pPr>
      <w:rPr>
        <w:rFonts w:ascii="Wingdings" w:hAnsi="Wingdings"/>
      </w:rPr>
    </w:lvl>
    <w:lvl w:ilvl="6">
      <w:numFmt w:val="bullet"/>
      <w:lvlText w:val=""/>
      <w:lvlJc w:val="left"/>
      <w:pPr>
        <w:ind w:left="5088" w:hanging="360"/>
      </w:pPr>
      <w:rPr>
        <w:rFonts w:ascii="Symbol" w:hAnsi="Symbol"/>
      </w:rPr>
    </w:lvl>
    <w:lvl w:ilvl="7">
      <w:numFmt w:val="bullet"/>
      <w:lvlText w:val="o"/>
      <w:lvlJc w:val="left"/>
      <w:pPr>
        <w:ind w:left="5808" w:hanging="360"/>
      </w:pPr>
      <w:rPr>
        <w:rFonts w:ascii="Courier New" w:hAnsi="Courier New" w:cs="Courier New"/>
      </w:rPr>
    </w:lvl>
    <w:lvl w:ilvl="8">
      <w:numFmt w:val="bullet"/>
      <w:lvlText w:val=""/>
      <w:lvlJc w:val="left"/>
      <w:pPr>
        <w:ind w:left="6528" w:hanging="360"/>
      </w:pPr>
      <w:rPr>
        <w:rFonts w:ascii="Wingdings" w:hAnsi="Wingdings"/>
      </w:rPr>
    </w:lvl>
  </w:abstractNum>
  <w:abstractNum w:abstractNumId="10" w15:restartNumberingAfterBreak="0">
    <w:nsid w:val="580E4B5D"/>
    <w:multiLevelType w:val="multilevel"/>
    <w:tmpl w:val="C44A0088"/>
    <w:lvl w:ilvl="0">
      <w:start w:val="4"/>
      <w:numFmt w:val="decimal"/>
      <w:lvlText w:val="%1."/>
      <w:lvlJc w:val="left"/>
      <w:pPr>
        <w:ind w:left="405" w:hanging="405"/>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844" w:hanging="144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8117" w:hanging="2160"/>
      </w:pPr>
    </w:lvl>
    <w:lvl w:ilvl="8">
      <w:start w:val="1"/>
      <w:numFmt w:val="decimal"/>
      <w:lvlText w:val="%1.%2.%3.%4.%5.%6.%7.%8.%9."/>
      <w:lvlJc w:val="left"/>
      <w:pPr>
        <w:ind w:left="8968" w:hanging="2160"/>
      </w:pPr>
    </w:lvl>
  </w:abstractNum>
  <w:abstractNum w:abstractNumId="11" w15:restartNumberingAfterBreak="0">
    <w:nsid w:val="62180661"/>
    <w:multiLevelType w:val="multilevel"/>
    <w:tmpl w:val="BB2C084C"/>
    <w:lvl w:ilvl="0">
      <w:start w:val="3"/>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2" w15:restartNumberingAfterBreak="0">
    <w:nsid w:val="7E4A2269"/>
    <w:multiLevelType w:val="multilevel"/>
    <w:tmpl w:val="78B2B556"/>
    <w:lvl w:ilvl="0">
      <w:start w:val="2"/>
      <w:numFmt w:val="decimal"/>
      <w:lvlText w:val="%1."/>
      <w:lvlJc w:val="left"/>
      <w:pPr>
        <w:ind w:left="480" w:hanging="48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1508056139">
    <w:abstractNumId w:val="0"/>
  </w:num>
  <w:num w:numId="2" w16cid:durableId="2075279328">
    <w:abstractNumId w:val="3"/>
  </w:num>
  <w:num w:numId="3" w16cid:durableId="1537768249">
    <w:abstractNumId w:val="7"/>
  </w:num>
  <w:num w:numId="4" w16cid:durableId="2039504974">
    <w:abstractNumId w:val="1"/>
  </w:num>
  <w:num w:numId="5" w16cid:durableId="2140031058">
    <w:abstractNumId w:val="2"/>
  </w:num>
  <w:num w:numId="6" w16cid:durableId="851602752">
    <w:abstractNumId w:val="2"/>
    <w:lvlOverride w:ilvl="0">
      <w:startOverride w:val="1"/>
    </w:lvlOverride>
  </w:num>
  <w:num w:numId="7" w16cid:durableId="700011809">
    <w:abstractNumId w:val="12"/>
  </w:num>
  <w:num w:numId="8" w16cid:durableId="635331547">
    <w:abstractNumId w:val="12"/>
    <w:lvlOverride w:ilvl="0">
      <w:startOverride w:val="1"/>
    </w:lvlOverride>
    <w:lvlOverride w:ilvl="1">
      <w:startOverride w:val="1"/>
    </w:lvlOverride>
  </w:num>
  <w:num w:numId="9" w16cid:durableId="1515731200">
    <w:abstractNumId w:val="8"/>
  </w:num>
  <w:num w:numId="10" w16cid:durableId="1960913041">
    <w:abstractNumId w:val="8"/>
    <w:lvlOverride w:ilvl="0">
      <w:startOverride w:val="1"/>
    </w:lvlOverride>
    <w:lvlOverride w:ilvl="1">
      <w:startOverride w:val="1"/>
    </w:lvlOverride>
    <w:lvlOverride w:ilvl="2">
      <w:startOverride w:val="1"/>
    </w:lvlOverride>
  </w:num>
  <w:num w:numId="11" w16cid:durableId="560405786">
    <w:abstractNumId w:val="5"/>
  </w:num>
  <w:num w:numId="12" w16cid:durableId="1048147340">
    <w:abstractNumId w:val="9"/>
  </w:num>
  <w:num w:numId="13" w16cid:durableId="1710646362">
    <w:abstractNumId w:val="11"/>
  </w:num>
  <w:num w:numId="14" w16cid:durableId="372467765">
    <w:abstractNumId w:val="11"/>
    <w:lvlOverride w:ilvl="0">
      <w:startOverride w:val="1"/>
    </w:lvlOverride>
    <w:lvlOverride w:ilvl="1">
      <w:startOverride w:val="1"/>
    </w:lvlOverride>
  </w:num>
  <w:num w:numId="15" w16cid:durableId="1431659121">
    <w:abstractNumId w:val="10"/>
  </w:num>
  <w:num w:numId="16" w16cid:durableId="1718705269">
    <w:abstractNumId w:val="10"/>
    <w:lvlOverride w:ilvl="0">
      <w:startOverride w:val="1"/>
    </w:lvlOverride>
    <w:lvlOverride w:ilvl="1">
      <w:startOverride w:val="1"/>
    </w:lvlOverride>
  </w:num>
  <w:num w:numId="17" w16cid:durableId="729965381">
    <w:abstractNumId w:val="4"/>
  </w:num>
  <w:num w:numId="18" w16cid:durableId="344017075">
    <w:abstractNumId w:val="4"/>
    <w:lvlOverride w:ilvl="0">
      <w:startOverride w:val="1"/>
    </w:lvlOverride>
    <w:lvlOverride w:ilvl="1">
      <w:startOverride w:val="1"/>
    </w:lvlOverride>
  </w:num>
  <w:num w:numId="19" w16cid:durableId="508372158">
    <w:abstractNumId w:val="6"/>
  </w:num>
  <w:num w:numId="20" w16cid:durableId="1383213706">
    <w:abstractNumId w:val="6"/>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D85"/>
    <w:rsid w:val="000061BD"/>
    <w:rsid w:val="000F49F0"/>
    <w:rsid w:val="000F74F3"/>
    <w:rsid w:val="001058E0"/>
    <w:rsid w:val="00161151"/>
    <w:rsid w:val="00166C1A"/>
    <w:rsid w:val="001E19EC"/>
    <w:rsid w:val="00287920"/>
    <w:rsid w:val="002A10F1"/>
    <w:rsid w:val="00375885"/>
    <w:rsid w:val="003D257C"/>
    <w:rsid w:val="003F7273"/>
    <w:rsid w:val="00405ED4"/>
    <w:rsid w:val="00420A6F"/>
    <w:rsid w:val="004D1DEB"/>
    <w:rsid w:val="005677FF"/>
    <w:rsid w:val="005966E8"/>
    <w:rsid w:val="005A1979"/>
    <w:rsid w:val="005C7239"/>
    <w:rsid w:val="005D21F1"/>
    <w:rsid w:val="006439AE"/>
    <w:rsid w:val="00660EE9"/>
    <w:rsid w:val="00700FEC"/>
    <w:rsid w:val="0074153C"/>
    <w:rsid w:val="0084237B"/>
    <w:rsid w:val="008515E8"/>
    <w:rsid w:val="00875AAC"/>
    <w:rsid w:val="00897F38"/>
    <w:rsid w:val="00956CA5"/>
    <w:rsid w:val="00984B33"/>
    <w:rsid w:val="009965F5"/>
    <w:rsid w:val="009D207A"/>
    <w:rsid w:val="00A14048"/>
    <w:rsid w:val="00A96FF9"/>
    <w:rsid w:val="00B2426C"/>
    <w:rsid w:val="00B5645D"/>
    <w:rsid w:val="00B90C70"/>
    <w:rsid w:val="00B93018"/>
    <w:rsid w:val="00C26353"/>
    <w:rsid w:val="00C654F8"/>
    <w:rsid w:val="00C83257"/>
    <w:rsid w:val="00C90B86"/>
    <w:rsid w:val="00CB2E66"/>
    <w:rsid w:val="00CB5D85"/>
    <w:rsid w:val="00D227BD"/>
    <w:rsid w:val="00D502C4"/>
    <w:rsid w:val="00D7500D"/>
    <w:rsid w:val="00DC1BDD"/>
    <w:rsid w:val="00E7786F"/>
    <w:rsid w:val="00E94740"/>
    <w:rsid w:val="00F33CD3"/>
    <w:rsid w:val="00F4115A"/>
    <w:rsid w:val="00F7222A"/>
    <w:rsid w:val="00F83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422E0"/>
  <w15:docId w15:val="{3167AC8F-8162-45B0-87FC-2FC8A3BD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Cs w:val="24"/>
    </w:rPr>
  </w:style>
  <w:style w:type="paragraph" w:styleId="Heading1">
    <w:name w:val="heading 1"/>
    <w:basedOn w:val="Normal"/>
    <w:next w:val="Normal"/>
    <w:uiPriority w:val="9"/>
    <w:qFormat/>
    <w:pPr>
      <w:keepNext/>
      <w:spacing w:before="240" w:after="60"/>
      <w:outlineLvl w:val="0"/>
    </w:pPr>
    <w:rPr>
      <w:rFonts w:ascii="Cambria" w:hAnsi="Cambria"/>
      <w:b/>
      <w:bCs/>
      <w:kern w:val="3"/>
      <w:sz w:val="32"/>
      <w:szCs w:val="32"/>
    </w:rPr>
  </w:style>
  <w:style w:type="paragraph" w:styleId="Heading2">
    <w:name w:val="heading 2"/>
    <w:basedOn w:val="Normal"/>
    <w:next w:val="Normal"/>
    <w:uiPriority w:val="9"/>
    <w:semiHidden/>
    <w:unhideWhenUsed/>
    <w:qFormat/>
    <w:pPr>
      <w:keepNext/>
      <w:outlineLvl w:val="1"/>
    </w:pPr>
    <w:rPr>
      <w:rFonts w:cs="Arial"/>
      <w:b/>
      <w:bCs/>
      <w:sz w:val="24"/>
    </w:rPr>
  </w:style>
  <w:style w:type="paragraph" w:styleId="Heading3">
    <w:name w:val="heading 3"/>
    <w:basedOn w:val="Normal"/>
    <w:next w:val="Normal"/>
    <w:uiPriority w:val="9"/>
    <w:semiHidden/>
    <w:unhideWhenUsed/>
    <w:qFormat/>
    <w:pPr>
      <w:keepNext/>
      <w:keepLines/>
      <w:spacing w:before="40"/>
      <w:outlineLvl w:val="2"/>
    </w:pPr>
    <w:rPr>
      <w:rFonts w:ascii="Cambria" w:eastAsia="MS Gothic" w:hAnsi="Cambria"/>
      <w:color w:val="243F6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paragraph" w:customStyle="1" w:styleId="FWBL1">
    <w:name w:val="FWB_L1"/>
    <w:basedOn w:val="Normal"/>
    <w:next w:val="FWBL2"/>
    <w:pPr>
      <w:keepNext/>
      <w:keepLines/>
      <w:numPr>
        <w:numId w:val="1"/>
      </w:numPr>
      <w:spacing w:after="240"/>
      <w:outlineLvl w:val="0"/>
    </w:pPr>
    <w:rPr>
      <w:rFonts w:cs="Arial"/>
      <w:b/>
      <w:smallCaps/>
      <w:szCs w:val="20"/>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rFonts w:cs="Arial"/>
      <w:sz w:val="16"/>
      <w:szCs w:val="16"/>
    </w:rPr>
  </w:style>
  <w:style w:type="paragraph" w:customStyle="1" w:styleId="NoParagraphStyle">
    <w:name w:val="[No Paragraph Style]"/>
    <w:pPr>
      <w:suppressAutoHyphens/>
      <w:autoSpaceDE w:val="0"/>
      <w:spacing w:line="288" w:lineRule="auto"/>
      <w:textAlignment w:val="center"/>
    </w:pPr>
    <w:rPr>
      <w:rFonts w:ascii="Helvetica Regular" w:hAnsi="Helvetica Regular" w:cs="Helvetica Regular"/>
      <w:color w:val="000000"/>
      <w:sz w:val="24"/>
      <w:szCs w:val="24"/>
    </w:rPr>
  </w:style>
  <w:style w:type="paragraph" w:customStyle="1" w:styleId="Address">
    <w:name w:val="Address"/>
    <w:basedOn w:val="Normal"/>
    <w:pPr>
      <w:tabs>
        <w:tab w:val="left" w:pos="2041"/>
        <w:tab w:val="left" w:pos="4082"/>
        <w:tab w:val="left" w:pos="6123"/>
      </w:tabs>
      <w:autoSpaceDE w:val="0"/>
      <w:spacing w:after="100" w:line="200" w:lineRule="atLeast"/>
      <w:textAlignment w:val="center"/>
    </w:pPr>
    <w:rPr>
      <w:rFonts w:cs="Helvetica 55 Roman"/>
      <w:b/>
      <w:bCs/>
      <w:color w:val="3F1E68"/>
      <w:sz w:val="16"/>
      <w:szCs w:val="16"/>
      <w:lang w:val="en-GB"/>
    </w:rPr>
  </w:style>
  <w:style w:type="character" w:customStyle="1" w:styleId="AstraZeneca">
    <w:name w:val="AstraZeneca"/>
    <w:rPr>
      <w:rFonts w:ascii="Arial" w:hAnsi="Arial" w:cs="Helvetica 55 Roman"/>
      <w:b/>
      <w:bCs/>
      <w:color w:val="8B034F"/>
      <w:sz w:val="16"/>
      <w:szCs w:val="16"/>
      <w:lang w:val="en-GB"/>
    </w:rPr>
  </w:style>
  <w:style w:type="character" w:customStyle="1" w:styleId="Bold">
    <w:name w:val="Bold"/>
    <w:basedOn w:val="DefaultParagraphFont"/>
    <w:rPr>
      <w:rFonts w:ascii="Arial" w:hAnsi="Arial"/>
      <w:b/>
      <w:sz w:val="20"/>
    </w:rPr>
  </w:style>
  <w:style w:type="paragraph" w:customStyle="1" w:styleId="BodyText1">
    <w:name w:val="Body Text1"/>
    <w:basedOn w:val="Normal"/>
    <w:pPr>
      <w:spacing w:after="200"/>
    </w:pPr>
    <w:rPr>
      <w:rFonts w:cs="Arial"/>
      <w:szCs w:val="20"/>
      <w:lang w:val="en-GB"/>
    </w:rPr>
  </w:style>
  <w:style w:type="character" w:styleId="PageNumber">
    <w:name w:val="page number"/>
    <w:basedOn w:val="DefaultParagraphFont"/>
  </w:style>
  <w:style w:type="character" w:styleId="Hyperlink">
    <w:name w:val="Hyperlink"/>
    <w:basedOn w:val="DefaultParagraphFont"/>
    <w:uiPriority w:val="99"/>
    <w:rPr>
      <w:color w:val="0000FF"/>
      <w:u w:val="single"/>
    </w:rPr>
  </w:style>
  <w:style w:type="paragraph" w:styleId="BalloonText">
    <w:name w:val="Balloon Text"/>
    <w:basedOn w:val="Normal"/>
    <w:rPr>
      <w:rFonts w:ascii="Tahoma" w:hAnsi="Tahoma" w:cs="Tahoma"/>
      <w:sz w:val="16"/>
      <w:szCs w:val="16"/>
    </w:rPr>
  </w:style>
  <w:style w:type="paragraph" w:customStyle="1" w:styleId="letterText">
    <w:name w:val="letterText"/>
    <w:pPr>
      <w:suppressAutoHyphens/>
      <w:overflowPunct w:val="0"/>
      <w:autoSpaceDE w:val="0"/>
      <w:textAlignment w:val="baseline"/>
    </w:pPr>
    <w:rPr>
      <w:sz w:val="24"/>
      <w:lang w:val="en-GB"/>
    </w:rPr>
  </w:style>
  <w:style w:type="character" w:customStyle="1" w:styleId="HeaderChar">
    <w:name w:val="Header Char"/>
    <w:basedOn w:val="DefaultParagraphFont"/>
    <w:rPr>
      <w:rFonts w:ascii="Arial" w:hAnsi="Arial"/>
      <w:szCs w:val="24"/>
      <w:lang w:val="en-US" w:eastAsia="en-US"/>
    </w:rPr>
  </w:style>
  <w:style w:type="character" w:customStyle="1" w:styleId="Heading2Char">
    <w:name w:val="Heading 2 Char"/>
    <w:basedOn w:val="DefaultParagraphFont"/>
    <w:rPr>
      <w:rFonts w:ascii="Arial" w:hAnsi="Arial" w:cs="Arial"/>
      <w:b/>
      <w:bCs/>
      <w:sz w:val="24"/>
      <w:szCs w:val="24"/>
      <w:lang w:val="en-US" w:eastAsia="en-US"/>
    </w:rPr>
  </w:style>
  <w:style w:type="character" w:customStyle="1" w:styleId="Heading1Char">
    <w:name w:val="Heading 1 Char"/>
    <w:basedOn w:val="DefaultParagraphFont"/>
    <w:rPr>
      <w:rFonts w:ascii="Cambria" w:eastAsia="Times New Roman" w:hAnsi="Cambria" w:cs="Times New Roman"/>
      <w:b/>
      <w:bCs/>
      <w:kern w:val="3"/>
      <w:sz w:val="32"/>
      <w:szCs w:val="32"/>
      <w:lang w:val="en-US" w:eastAsia="en-US"/>
    </w:rPr>
  </w:style>
  <w:style w:type="character" w:styleId="FollowedHyperlink">
    <w:name w:val="FollowedHyperlink"/>
    <w:basedOn w:val="DefaultParagraphFont"/>
    <w:rPr>
      <w:color w:val="800080"/>
      <w:u w:val="single"/>
    </w:rPr>
  </w:style>
  <w:style w:type="character" w:customStyle="1" w:styleId="Heading3Char">
    <w:name w:val="Heading 3 Char"/>
    <w:basedOn w:val="DefaultParagraphFont"/>
    <w:rPr>
      <w:rFonts w:ascii="Cambria" w:eastAsia="MS Gothic" w:hAnsi="Cambria" w:cs="Times New Roman"/>
      <w:color w:val="243F60"/>
      <w:sz w:val="24"/>
      <w:szCs w:val="24"/>
    </w:rPr>
  </w:style>
  <w:style w:type="character" w:customStyle="1" w:styleId="FooterChar">
    <w:name w:val="Footer Char"/>
    <w:basedOn w:val="DefaultParagraphFont"/>
    <w:rPr>
      <w:rFonts w:ascii="Arial" w:hAnsi="Arial" w:cs="Arial"/>
      <w:sz w:val="16"/>
      <w:szCs w:val="16"/>
    </w:rPr>
  </w:style>
  <w:style w:type="paragraph" w:styleId="ListParagraph">
    <w:name w:val="List Paragraph"/>
    <w:basedOn w:val="Normal"/>
    <w:pPr>
      <w:ind w:left="720"/>
      <w:contextualSpacing/>
    </w:pPr>
    <w:rPr>
      <w:rFonts w:ascii="Calibri" w:eastAsia="MS Mincho" w:hAnsi="Calibri" w:cs="Arial"/>
      <w:sz w:val="24"/>
    </w:rPr>
  </w:style>
  <w:style w:type="character" w:styleId="CommentReference">
    <w:name w:val="annotation reference"/>
    <w:basedOn w:val="DefaultParagraphFont"/>
    <w:rPr>
      <w:sz w:val="16"/>
      <w:szCs w:val="16"/>
    </w:rPr>
  </w:style>
  <w:style w:type="paragraph" w:styleId="CommentText">
    <w:name w:val="annotation text"/>
    <w:basedOn w:val="Normal"/>
    <w:rPr>
      <w:rFonts w:ascii="Calibri" w:eastAsia="MS Mincho" w:hAnsi="Calibri" w:cs="Arial"/>
      <w:szCs w:val="20"/>
    </w:rPr>
  </w:style>
  <w:style w:type="character" w:customStyle="1" w:styleId="CommentTextChar">
    <w:name w:val="Comment Text Char"/>
    <w:basedOn w:val="DefaultParagraphFont"/>
    <w:rPr>
      <w:rFonts w:ascii="Calibri" w:eastAsia="MS Mincho" w:hAnsi="Calibri" w:cs="Arial"/>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Calibri" w:eastAsia="MS Mincho" w:hAnsi="Calibri" w:cs="Arial"/>
      <w:b/>
      <w:bCs/>
    </w:rPr>
  </w:style>
  <w:style w:type="character" w:customStyle="1" w:styleId="BalloonTextChar">
    <w:name w:val="Balloon Text Char"/>
    <w:basedOn w:val="DefaultParagraphFont"/>
    <w:rPr>
      <w:rFonts w:ascii="Tahoma" w:hAnsi="Tahoma" w:cs="Tahoma"/>
      <w:sz w:val="16"/>
      <w:szCs w:val="16"/>
    </w:rPr>
  </w:style>
  <w:style w:type="paragraph" w:styleId="TOCHeading">
    <w:name w:val="TOC Heading"/>
    <w:basedOn w:val="Heading1"/>
    <w:next w:val="Normal"/>
    <w:pPr>
      <w:keepLines/>
      <w:spacing w:after="0" w:line="251" w:lineRule="auto"/>
    </w:pPr>
    <w:rPr>
      <w:rFonts w:eastAsia="MS Gothic"/>
      <w:b w:val="0"/>
      <w:bCs w:val="0"/>
      <w:color w:val="365F91"/>
      <w:kern w:val="0"/>
    </w:rPr>
  </w:style>
  <w:style w:type="paragraph" w:styleId="TOC1">
    <w:name w:val="toc 1"/>
    <w:basedOn w:val="Normal"/>
    <w:next w:val="Normal"/>
    <w:autoRedefine/>
    <w:uiPriority w:val="39"/>
    <w:pPr>
      <w:spacing w:after="100"/>
    </w:pPr>
    <w:rPr>
      <w:rFonts w:ascii="Calibri" w:eastAsia="MS Mincho" w:hAnsi="Calibri" w:cs="Arial"/>
      <w:sz w:val="24"/>
    </w:rPr>
  </w:style>
  <w:style w:type="paragraph" w:styleId="TOC2">
    <w:name w:val="toc 2"/>
    <w:basedOn w:val="Normal"/>
    <w:next w:val="Normal"/>
    <w:autoRedefine/>
    <w:uiPriority w:val="39"/>
    <w:pPr>
      <w:spacing w:after="100"/>
      <w:ind w:left="240"/>
    </w:pPr>
    <w:rPr>
      <w:rFonts w:ascii="Calibri" w:eastAsia="MS Mincho" w:hAnsi="Calibri" w:cs="Arial"/>
      <w:sz w:val="24"/>
    </w:rPr>
  </w:style>
  <w:style w:type="paragraph" w:styleId="TOC3">
    <w:name w:val="toc 3"/>
    <w:basedOn w:val="Normal"/>
    <w:next w:val="Normal"/>
    <w:autoRedefine/>
    <w:uiPriority w:val="39"/>
    <w:pPr>
      <w:spacing w:after="100"/>
      <w:ind w:left="480"/>
    </w:pPr>
    <w:rPr>
      <w:rFonts w:ascii="Calibri" w:eastAsia="MS Mincho" w:hAnsi="Calibri" w:cs="Arial"/>
      <w:sz w:val="24"/>
    </w:rPr>
  </w:style>
  <w:style w:type="paragraph" w:customStyle="1" w:styleId="FWBL2">
    <w:name w:val="FWB_L2"/>
    <w:basedOn w:val="FWBL1"/>
    <w:pPr>
      <w:keepNext w:val="0"/>
      <w:keepLines w:val="0"/>
      <w:numPr>
        <w:numId w:val="0"/>
      </w:numPr>
      <w:jc w:val="both"/>
    </w:pPr>
    <w:rPr>
      <w:b w:val="0"/>
      <w:smallCaps w:val="0"/>
      <w:sz w:val="16"/>
    </w:rPr>
  </w:style>
  <w:style w:type="paragraph" w:customStyle="1" w:styleId="FWBL3">
    <w:name w:val="FWB_L3"/>
    <w:basedOn w:val="FWBL2"/>
  </w:style>
  <w:style w:type="paragraph" w:customStyle="1" w:styleId="FWBL4">
    <w:name w:val="FWB_L4"/>
    <w:basedOn w:val="FWBL3"/>
    <w:rPr>
      <w:rFonts w:ascii="Times New Roman" w:hAnsi="Times New Roman" w:cs="Times New Roman"/>
      <w:sz w:val="24"/>
    </w:rPr>
  </w:style>
  <w:style w:type="paragraph" w:customStyle="1" w:styleId="FWBL5">
    <w:name w:val="FWB_L5"/>
    <w:basedOn w:val="FWBL4"/>
  </w:style>
  <w:style w:type="paragraph" w:customStyle="1" w:styleId="FWBL6">
    <w:name w:val="FWB_L6"/>
    <w:basedOn w:val="FWBL5"/>
  </w:style>
  <w:style w:type="paragraph" w:customStyle="1" w:styleId="FWBL7">
    <w:name w:val="FWB_L7"/>
    <w:basedOn w:val="FWBL6"/>
  </w:style>
  <w:style w:type="paragraph" w:customStyle="1" w:styleId="FWBL8">
    <w:name w:val="FWB_L8"/>
    <w:basedOn w:val="FWBL7"/>
    <w:pPr>
      <w:numPr>
        <w:numId w:val="4"/>
      </w:numPr>
    </w:pPr>
  </w:style>
  <w:style w:type="paragraph" w:customStyle="1" w:styleId="paragraph">
    <w:name w:val="paragraph"/>
    <w:basedOn w:val="Normal"/>
    <w:pPr>
      <w:spacing w:before="100" w:after="100"/>
    </w:pPr>
    <w:rPr>
      <w:rFonts w:ascii="Times New Roman" w:hAnsi="Times New Roman"/>
      <w:sz w:val="24"/>
    </w:rPr>
  </w:style>
  <w:style w:type="character" w:customStyle="1" w:styleId="normaltextrun">
    <w:name w:val="normaltextrun"/>
    <w:basedOn w:val="DefaultParagraphFont"/>
  </w:style>
  <w:style w:type="character" w:customStyle="1" w:styleId="apple-converted-space">
    <w:name w:val="apple-converted-space"/>
    <w:basedOn w:val="DefaultParagraphFont"/>
  </w:style>
  <w:style w:type="character" w:customStyle="1" w:styleId="eop">
    <w:name w:val="eop"/>
    <w:basedOn w:val="DefaultParagraphFont"/>
  </w:style>
  <w:style w:type="paragraph" w:styleId="Revision">
    <w:name w:val="Revision"/>
    <w:pPr>
      <w:suppressAutoHyphens/>
    </w:pPr>
    <w:rPr>
      <w:rFonts w:ascii="Arial" w:hAnsi="Arial"/>
      <w:szCs w:val="24"/>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25">
    <w:name w:val="LFO25"/>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OR\AppData\Local\Microsoft\Windows\INetCache\AZ_Letterhead_digital_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70C66-F1B5-4FF9-AD8C-574967AD7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AZ_Letterhead_digital_A4</Template>
  <TotalTime>1</TotalTime>
  <Pages>11</Pages>
  <Words>3183</Words>
  <Characters>18144</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m215155</dc:creator>
  <cp:lastModifiedBy>Gorp, Ilse van</cp:lastModifiedBy>
  <cp:revision>2</cp:revision>
  <cp:lastPrinted>2010-08-23T14:33:00Z</cp:lastPrinted>
  <dcterms:created xsi:type="dcterms:W3CDTF">2025-04-28T13:58:00Z</dcterms:created>
  <dcterms:modified xsi:type="dcterms:W3CDTF">2025-04-28T13:58:00Z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ZAudience">
    <vt:lpwstr/>
  </property>
  <property fmtid="{D5CDD505-2E9C-101B-9397-08002B2CF9AE}" pid="3" name="display_urn:schemas-microsoft-com:office:office#Editor">
    <vt:lpwstr>Battaglia, Kathy</vt:lpwstr>
  </property>
  <property fmtid="{D5CDD505-2E9C-101B-9397-08002B2CF9AE}" pid="4" name="Order">
    <vt:lpwstr>300.000000000000</vt:lpwstr>
  </property>
  <property fmtid="{D5CDD505-2E9C-101B-9397-08002B2CF9AE}" pid="5" name="AZSubject">
    <vt:lpwstr/>
  </property>
  <property fmtid="{D5CDD505-2E9C-101B-9397-08002B2CF9AE}" pid="6" name="TemplateUrl">
    <vt:lpwstr/>
  </property>
  <property fmtid="{D5CDD505-2E9C-101B-9397-08002B2CF9AE}" pid="7" name="SecurityLevel">
    <vt:lpwstr>19;#Unmarked or AstraZeneca Community Use Only|f75550dc-c360-4b14-9040-5712803b22e1</vt:lpwstr>
  </property>
  <property fmtid="{D5CDD505-2E9C-101B-9397-08002B2CF9AE}" pid="8" name="URL">
    <vt:lpwstr/>
  </property>
  <property fmtid="{D5CDD505-2E9C-101B-9397-08002B2CF9AE}" pid="9" name="_dlc_DocId">
    <vt:lpwstr>YD3X6NYJXF6Q-160-3</vt:lpwstr>
  </property>
  <property fmtid="{D5CDD505-2E9C-101B-9397-08002B2CF9AE}" pid="10" name="_dlc_DocIdUrl">
    <vt:lpwstr>https://www.em.azcollaboration.com/hr/BAU/ukemployeerelations/_layouts/DocIdRedir.aspx?ID=YD3X6NYJXF6Q-160-3, YD3X6NYJXF6Q-160-3</vt:lpwstr>
  </property>
  <property fmtid="{D5CDD505-2E9C-101B-9397-08002B2CF9AE}" pid="11" name="xd_Signature">
    <vt:lpwstr/>
  </property>
  <property fmtid="{D5CDD505-2E9C-101B-9397-08002B2CF9AE}" pid="12" name="Type">
    <vt:lpwstr/>
  </property>
  <property fmtid="{D5CDD505-2E9C-101B-9397-08002B2CF9AE}" pid="13" name="xd_ProgID">
    <vt:lpwstr/>
  </property>
  <property fmtid="{D5CDD505-2E9C-101B-9397-08002B2CF9AE}" pid="14" name="_dlc_DocIdPersistId">
    <vt:lpwstr/>
  </property>
  <property fmtid="{D5CDD505-2E9C-101B-9397-08002B2CF9AE}" pid="15" name="GRADCode">
    <vt:lpwstr/>
  </property>
  <property fmtid="{D5CDD505-2E9C-101B-9397-08002B2CF9AE}" pid="16" name="display_urn:schemas-microsoft-com:office:office#Author">
    <vt:lpwstr>Battaglia, Kathy</vt:lpwstr>
  </property>
  <property fmtid="{D5CDD505-2E9C-101B-9397-08002B2CF9AE}" pid="17" name="_dlc_DocIdItemGuid">
    <vt:lpwstr>cebed6c3-87d9-425c-88df-89fb7f97d5cf</vt:lpwstr>
  </property>
  <property fmtid="{D5CDD505-2E9C-101B-9397-08002B2CF9AE}" pid="18" name="ContentTypeId">
    <vt:lpwstr>0x010100E975F02B11E5384EBFFD4CC788BFAF7A</vt:lpwstr>
  </property>
</Properties>
</file>